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3D" w:rsidRPr="002912CB" w:rsidRDefault="00A4553D" w:rsidP="001375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23747586"/>
      <w:bookmarkStart w:id="1" w:name="_Toc324512911"/>
      <w:bookmarkStart w:id="2" w:name="_Toc325957718"/>
      <w:r w:rsidRPr="002912CB">
        <w:rPr>
          <w:rFonts w:ascii="Times New Roman" w:hAnsi="Times New Roman"/>
          <w:sz w:val="28"/>
          <w:szCs w:val="28"/>
        </w:rPr>
        <w:t>A demokrácia iskolái?</w:t>
      </w:r>
    </w:p>
    <w:p w:rsidR="00A4553D" w:rsidRPr="002912CB" w:rsidRDefault="00A4553D" w:rsidP="001375D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912CB">
        <w:rPr>
          <w:rFonts w:ascii="Times New Roman" w:hAnsi="Times New Roman"/>
          <w:sz w:val="28"/>
          <w:szCs w:val="28"/>
        </w:rPr>
        <w:t>A magyar fiatalok politikai részvételét ösztönző helyi együttműködések komparatív vizsgálata</w:t>
      </w:r>
    </w:p>
    <w:p w:rsidR="00E3580B" w:rsidRPr="00C6326F" w:rsidRDefault="00E3580B" w:rsidP="00E3580B">
      <w:pPr>
        <w:pStyle w:val="Cmsor2"/>
        <w:ind w:left="0" w:firstLine="0"/>
      </w:pPr>
      <w:r w:rsidRPr="00C6326F">
        <w:t xml:space="preserve">A kutatás </w:t>
      </w:r>
      <w:r>
        <w:t>elméleti kerete</w:t>
      </w:r>
    </w:p>
    <w:p w:rsidR="002912CB" w:rsidRDefault="002912CB" w:rsidP="002912C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3580B" w:rsidRDefault="00E3580B" w:rsidP="002912C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 xml:space="preserve">Kutatásom a demokrácia kulcsfogalmát, a politikai részvételt John Stuart Mill és Alexis de Tocqueville eszmetörténeti megfontolásaiból kiindulva a helyi közösségekben alkalmazott politikai </w:t>
      </w:r>
      <w:r w:rsidRPr="00DC446E">
        <w:rPr>
          <w:rFonts w:ascii="Times New Roman" w:hAnsi="Times New Roman"/>
          <w:bCs/>
          <w:sz w:val="24"/>
          <w:szCs w:val="24"/>
        </w:rPr>
        <w:t xml:space="preserve">döntéshozatali eljárásokon keresztül, közpolitikai megközelítésben vizsgálja. </w:t>
      </w:r>
      <w:r w:rsidRPr="00DC446E">
        <w:rPr>
          <w:rFonts w:ascii="Times New Roman" w:hAnsi="Times New Roman"/>
          <w:sz w:val="24"/>
          <w:szCs w:val="24"/>
        </w:rPr>
        <w:t xml:space="preserve">A vizsgálat fókuszában a 15-29 év közötti magyar fiatalok </w:t>
      </w:r>
      <w:r w:rsidR="0009175B">
        <w:rPr>
          <w:rFonts w:ascii="Times New Roman" w:hAnsi="Times New Roman"/>
          <w:sz w:val="24"/>
          <w:szCs w:val="24"/>
        </w:rPr>
        <w:t xml:space="preserve">politikai </w:t>
      </w:r>
      <w:r w:rsidRPr="00DC446E">
        <w:rPr>
          <w:rFonts w:ascii="Times New Roman" w:hAnsi="Times New Roman"/>
          <w:sz w:val="24"/>
          <w:szCs w:val="24"/>
        </w:rPr>
        <w:t>részvételé</w:t>
      </w:r>
      <w:r w:rsidR="0009175B">
        <w:rPr>
          <w:rFonts w:ascii="Times New Roman" w:hAnsi="Times New Roman"/>
          <w:sz w:val="24"/>
          <w:szCs w:val="24"/>
        </w:rPr>
        <w:t>t helyi szinten biztosító</w:t>
      </w:r>
      <w:r w:rsidRPr="00DC446E">
        <w:rPr>
          <w:rFonts w:ascii="Times New Roman" w:hAnsi="Times New Roman"/>
          <w:sz w:val="24"/>
          <w:szCs w:val="24"/>
        </w:rPr>
        <w:t xml:space="preserve"> intézmények működésének vizsgálata áll.</w:t>
      </w:r>
    </w:p>
    <w:p w:rsidR="0009175B" w:rsidRDefault="002912CB" w:rsidP="0009175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 xml:space="preserve">Kutatás abból indul ki, hogy a 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>fiatalok demokratikus döntéshozatalban való részvételét nagyban meghatározza</w:t>
      </w:r>
      <w:r w:rsidRPr="00DC446E">
        <w:rPr>
          <w:rFonts w:ascii="Times New Roman" w:hAnsi="Times New Roman"/>
          <w:sz w:val="24"/>
          <w:szCs w:val="24"/>
        </w:rPr>
        <w:t xml:space="preserve"> a közigazgatási intézmények és civilszervezetek által a fiatalok részvételének biztosítására létrehozott </w:t>
      </w:r>
      <w:r>
        <w:rPr>
          <w:rFonts w:ascii="Times New Roman" w:hAnsi="Times New Roman"/>
          <w:sz w:val="24"/>
          <w:szCs w:val="24"/>
        </w:rPr>
        <w:t>környezet.</w:t>
      </w:r>
      <w:r w:rsidR="0009175B" w:rsidRPr="0009175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9175B">
        <w:rPr>
          <w:rFonts w:ascii="Times New Roman" w:hAnsi="Times New Roman"/>
          <w:sz w:val="24"/>
          <w:szCs w:val="24"/>
          <w:lang w:val="en-GB"/>
        </w:rPr>
        <w:t xml:space="preserve">A </w:t>
      </w:r>
      <w:r w:rsidR="0009175B" w:rsidRPr="00830A8A">
        <w:rPr>
          <w:rFonts w:ascii="Times New Roman" w:hAnsi="Times New Roman"/>
          <w:sz w:val="24"/>
          <w:szCs w:val="24"/>
          <w:lang w:val="en-GB"/>
        </w:rPr>
        <w:t>Magyarország</w:t>
      </w:r>
      <w:r w:rsidR="0009175B">
        <w:rPr>
          <w:rFonts w:ascii="Times New Roman" w:hAnsi="Times New Roman"/>
          <w:sz w:val="24"/>
          <w:szCs w:val="24"/>
          <w:lang w:val="en-GB"/>
        </w:rPr>
        <w:t xml:space="preserve"> e szempontból </w:t>
      </w:r>
      <w:r w:rsidR="0009175B" w:rsidRPr="00830A8A">
        <w:rPr>
          <w:rFonts w:ascii="Times New Roman" w:hAnsi="Times New Roman"/>
          <w:sz w:val="24"/>
          <w:szCs w:val="24"/>
          <w:lang w:val="en-GB"/>
        </w:rPr>
        <w:t xml:space="preserve">azért érdekes eset, mert a gazdasági és demokratikus átmenet során </w:t>
      </w:r>
      <w:r w:rsidR="0009175B">
        <w:rPr>
          <w:rFonts w:ascii="Times New Roman" w:hAnsi="Times New Roman"/>
          <w:sz w:val="24"/>
          <w:szCs w:val="24"/>
          <w:lang w:val="en-GB"/>
        </w:rPr>
        <w:t>a</w:t>
      </w:r>
      <w:r w:rsidR="0009175B">
        <w:rPr>
          <w:rFonts w:ascii="Times New Roman" w:hAnsi="Times New Roman"/>
          <w:sz w:val="24"/>
          <w:szCs w:val="24"/>
        </w:rPr>
        <w:t xml:space="preserve"> kormányzati-ifjúsági párbeszédnek máig nem létezik országos intézményi struktúrája, a fiatalokkal folytatott érdekegyzetés helyi, megyei és regionális intézményeinek működ</w:t>
      </w:r>
      <w:r w:rsidR="00217128">
        <w:rPr>
          <w:rFonts w:ascii="Times New Roman" w:hAnsi="Times New Roman"/>
          <w:sz w:val="24"/>
          <w:szCs w:val="24"/>
        </w:rPr>
        <w:t xml:space="preserve">ése koordinálatlan és </w:t>
      </w:r>
      <w:r w:rsidR="002059E5">
        <w:rPr>
          <w:rFonts w:ascii="Times New Roman" w:hAnsi="Times New Roman"/>
          <w:sz w:val="24"/>
          <w:szCs w:val="24"/>
        </w:rPr>
        <w:t>esetleges. A témát vizsgáló nem</w:t>
      </w:r>
      <w:r w:rsidR="00217128">
        <w:rPr>
          <w:rFonts w:ascii="Times New Roman" w:hAnsi="Times New Roman"/>
          <w:sz w:val="24"/>
          <w:szCs w:val="24"/>
        </w:rPr>
        <w:t>zetközi kutatások</w:t>
      </w:r>
      <w:r w:rsidR="0009175B">
        <w:rPr>
          <w:rFonts w:ascii="Times New Roman" w:hAnsi="Times New Roman"/>
          <w:sz w:val="24"/>
          <w:szCs w:val="24"/>
        </w:rPr>
        <w:t>hoz</w:t>
      </w:r>
      <w:r w:rsidR="003C7992">
        <w:rPr>
          <w:rFonts w:ascii="Times New Roman" w:hAnsi="Times New Roman"/>
          <w:sz w:val="24"/>
          <w:szCs w:val="24"/>
        </w:rPr>
        <w:t>, a fejlesztési célok gyakorlatban való megvalósulásáról</w:t>
      </w:r>
      <w:r w:rsidR="0009175B">
        <w:rPr>
          <w:rFonts w:ascii="Times New Roman" w:hAnsi="Times New Roman"/>
          <w:sz w:val="24"/>
          <w:szCs w:val="24"/>
        </w:rPr>
        <w:t xml:space="preserve"> </w:t>
      </w:r>
      <w:r w:rsidR="00217128">
        <w:rPr>
          <w:rFonts w:ascii="Times New Roman" w:hAnsi="Times New Roman"/>
          <w:sz w:val="24"/>
          <w:szCs w:val="24"/>
        </w:rPr>
        <w:t xml:space="preserve">kevés </w:t>
      </w:r>
      <w:r w:rsidR="0009175B">
        <w:rPr>
          <w:rFonts w:ascii="Times New Roman" w:hAnsi="Times New Roman"/>
          <w:sz w:val="24"/>
          <w:szCs w:val="24"/>
        </w:rPr>
        <w:t>hiteles információ</w:t>
      </w:r>
      <w:r w:rsidR="00217128">
        <w:rPr>
          <w:rFonts w:ascii="Times New Roman" w:hAnsi="Times New Roman"/>
          <w:sz w:val="24"/>
          <w:szCs w:val="24"/>
        </w:rPr>
        <w:t xml:space="preserve"> áll rendelkezésre, ezért azokhoz e</w:t>
      </w:r>
      <w:r w:rsidR="0009175B">
        <w:rPr>
          <w:rFonts w:ascii="Times New Roman" w:hAnsi="Times New Roman"/>
          <w:sz w:val="24"/>
          <w:szCs w:val="24"/>
        </w:rPr>
        <w:t>gy a témában készített komparatív kutatás fontos információkkal szolgálhat.</w:t>
      </w:r>
    </w:p>
    <w:p w:rsidR="0009175B" w:rsidRDefault="002912CB" w:rsidP="0009175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kérdés kapcsán </w:t>
      </w:r>
      <w:r w:rsidRPr="00DC446E">
        <w:rPr>
          <w:rFonts w:ascii="Times New Roman" w:hAnsi="Times New Roman"/>
          <w:sz w:val="24"/>
          <w:szCs w:val="24"/>
        </w:rPr>
        <w:t xml:space="preserve">nyilvánvaló területi különbség mutatkozik az Európai Unió „régi” és „új” tagállamai között. </w:t>
      </w:r>
      <w:r>
        <w:rPr>
          <w:rFonts w:ascii="Times New Roman" w:hAnsi="Times New Roman"/>
          <w:sz w:val="24"/>
          <w:szCs w:val="24"/>
        </w:rPr>
        <w:t>A</w:t>
      </w:r>
      <w:r w:rsidRPr="00DC446E">
        <w:rPr>
          <w:rFonts w:ascii="Times New Roman" w:hAnsi="Times New Roman"/>
          <w:sz w:val="24"/>
          <w:szCs w:val="24"/>
        </w:rPr>
        <w:t xml:space="preserve"> „régi” tagállamokban a fiatalok politikai képviseletét és részvételét biztosít</w:t>
      </w:r>
      <w:r>
        <w:rPr>
          <w:rFonts w:ascii="Times New Roman" w:hAnsi="Times New Roman"/>
          <w:sz w:val="24"/>
          <w:szCs w:val="24"/>
        </w:rPr>
        <w:t>ó sz</w:t>
      </w:r>
      <w:r w:rsidRPr="00DC446E">
        <w:rPr>
          <w:rFonts w:ascii="Times New Roman" w:hAnsi="Times New Roman"/>
          <w:sz w:val="24"/>
          <w:szCs w:val="24"/>
        </w:rPr>
        <w:t>ervezetek a közigazgat</w:t>
      </w:r>
      <w:r>
        <w:rPr>
          <w:rFonts w:ascii="Times New Roman" w:hAnsi="Times New Roman"/>
          <w:sz w:val="24"/>
          <w:szCs w:val="24"/>
        </w:rPr>
        <w:t>ásban nagy számban vannak jelen, a részvétellel kapcsolatos problémák e</w:t>
      </w:r>
      <w:r w:rsidRPr="00DC446E">
        <w:rPr>
          <w:rFonts w:ascii="Times New Roman" w:hAnsi="Times New Roman"/>
          <w:sz w:val="24"/>
          <w:szCs w:val="24"/>
        </w:rPr>
        <w:t xml:space="preserve"> szervezetek gy</w:t>
      </w:r>
      <w:r>
        <w:rPr>
          <w:rFonts w:ascii="Times New Roman" w:hAnsi="Times New Roman"/>
          <w:sz w:val="24"/>
          <w:szCs w:val="24"/>
        </w:rPr>
        <w:t>engülő társadalmi beágyazottságából adódnak</w:t>
      </w:r>
      <w:r w:rsidRPr="00DC446E">
        <w:rPr>
          <w:rFonts w:ascii="Times New Roman" w:hAnsi="Times New Roman"/>
          <w:sz w:val="24"/>
          <w:szCs w:val="24"/>
        </w:rPr>
        <w:t xml:space="preserve"> 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>(</w:t>
      </w:r>
      <w:r w:rsidRPr="00DC446E">
        <w:rPr>
          <w:rFonts w:ascii="Times New Roman" w:eastAsia="Meta-Normal--Identity-H" w:hAnsi="Times New Roman"/>
          <w:smallCaps/>
          <w:color w:val="111111"/>
          <w:sz w:val="24"/>
          <w:szCs w:val="24"/>
          <w:lang w:eastAsia="hu-HU"/>
        </w:rPr>
        <w:t>Forbrig,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 xml:space="preserve"> 2005:13), ebből </w:t>
      </w:r>
      <w:r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>adódóan a közpolitikai programok célja az intézmények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 xml:space="preserve"> társadalmi kapcsolataik javítás</w:t>
      </w:r>
      <w:r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 xml:space="preserve">a. 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>Az „új” tagországok gazdasági és demokratikus átmenete során</w:t>
      </w:r>
      <w:r w:rsidRPr="00DC446E">
        <w:rPr>
          <w:rFonts w:ascii="Times New Roman" w:hAnsi="Times New Roman"/>
          <w:sz w:val="24"/>
          <w:szCs w:val="24"/>
          <w:lang w:val="en-GB"/>
        </w:rPr>
        <w:t xml:space="preserve"> az ifjúsággal folytatott párbeszéd korábbi struktúrái megszűntek, </w:t>
      </w:r>
      <w:r w:rsidR="00A95A8B">
        <w:rPr>
          <w:rFonts w:ascii="Times New Roman" w:hAnsi="Times New Roman"/>
          <w:sz w:val="24"/>
          <w:szCs w:val="24"/>
          <w:lang w:val="en-GB"/>
        </w:rPr>
        <w:t>ezért a</w:t>
      </w:r>
      <w:r w:rsidRPr="00DC446E">
        <w:rPr>
          <w:rFonts w:ascii="Times New Roman" w:hAnsi="Times New Roman"/>
          <w:sz w:val="24"/>
          <w:szCs w:val="24"/>
          <w:lang w:val="en-GB"/>
        </w:rPr>
        <w:t xml:space="preserve"> fő kérdés nem az, miként lehetséges a már létező intézmények nyitottabbá tétele, hanem az, miként hozhatók létre és működtethetők tartósan az ifjúság részvételét biztosítani képes új intézmények (</w:t>
      </w:r>
      <w:r w:rsidRPr="00DC446E">
        <w:rPr>
          <w:rFonts w:ascii="Times New Roman" w:hAnsi="Times New Roman"/>
          <w:smallCaps/>
          <w:sz w:val="24"/>
          <w:szCs w:val="24"/>
          <w:lang w:val="en-GB"/>
        </w:rPr>
        <w:t>Kovacheva</w:t>
      </w:r>
      <w:r w:rsidRPr="00DC446E">
        <w:rPr>
          <w:rFonts w:ascii="Times New Roman" w:hAnsi="Times New Roman"/>
          <w:sz w:val="24"/>
          <w:szCs w:val="24"/>
          <w:lang w:val="en-GB"/>
        </w:rPr>
        <w:t xml:space="preserve"> 2000:74).</w:t>
      </w:r>
      <w:r w:rsidR="0009175B">
        <w:rPr>
          <w:rFonts w:ascii="Times New Roman" w:hAnsi="Times New Roman"/>
          <w:sz w:val="24"/>
          <w:szCs w:val="24"/>
        </w:rPr>
        <w:t xml:space="preserve"> </w:t>
      </w:r>
    </w:p>
    <w:p w:rsidR="00E3580B" w:rsidRPr="00DC446E" w:rsidRDefault="00E3580B" w:rsidP="00064A1F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>Az Európai Unió ifjúságpolitikájának állandó célkitűzése a fiatalok részvételének ösztönzése. Az Európa Tanács kapcsolódó nemzetközi ifjúságpolitikai vizsgálatai</w:t>
      </w:r>
      <w:r w:rsidRPr="00DC446E">
        <w:rPr>
          <w:rFonts w:ascii="Times New Roman" w:hAnsi="Times New Roman"/>
          <w:smallCaps/>
          <w:sz w:val="24"/>
          <w:szCs w:val="24"/>
        </w:rPr>
        <w:t xml:space="preserve"> </w:t>
      </w:r>
      <w:r w:rsidRPr="00DC446E">
        <w:rPr>
          <w:rFonts w:ascii="Times New Roman" w:hAnsi="Times New Roman"/>
          <w:sz w:val="24"/>
          <w:szCs w:val="24"/>
        </w:rPr>
        <w:t xml:space="preserve">a fiatalok részvételét meghatározó tényezők jobb megértése érdekében a politikai részvétel új formáira helyezik a hangsúlyt. </w:t>
      </w:r>
      <w:r w:rsidRPr="00DC446E">
        <w:rPr>
          <w:rFonts w:ascii="Times New Roman" w:hAnsi="Times New Roman"/>
          <w:sz w:val="24"/>
          <w:szCs w:val="24"/>
          <w:lang w:eastAsia="hu-HU"/>
        </w:rPr>
        <w:t xml:space="preserve">Az említett </w:t>
      </w:r>
      <w:r w:rsidRPr="00DC446E">
        <w:rPr>
          <w:rFonts w:ascii="Times New Roman" w:hAnsi="Times New Roman"/>
          <w:sz w:val="24"/>
          <w:szCs w:val="24"/>
        </w:rPr>
        <w:t>kutatások</w:t>
      </w:r>
      <w:r w:rsidR="00040B47">
        <w:rPr>
          <w:rFonts w:ascii="Times New Roman" w:hAnsi="Times New Roman"/>
          <w:sz w:val="24"/>
          <w:szCs w:val="24"/>
        </w:rPr>
        <w:t xml:space="preserve"> kiemelik</w:t>
      </w:r>
      <w:r w:rsidRPr="00DC446E">
        <w:rPr>
          <w:rFonts w:ascii="Times New Roman" w:hAnsi="Times New Roman"/>
          <w:sz w:val="24"/>
          <w:szCs w:val="24"/>
        </w:rPr>
        <w:t xml:space="preserve"> (</w:t>
      </w:r>
      <w:r w:rsidRPr="00DC446E">
        <w:rPr>
          <w:rFonts w:ascii="Times New Roman" w:hAnsi="Times New Roman"/>
          <w:smallCaps/>
          <w:sz w:val="24"/>
          <w:szCs w:val="24"/>
        </w:rPr>
        <w:t>Williamson</w:t>
      </w:r>
      <w:r w:rsidRPr="00DC446E">
        <w:rPr>
          <w:rFonts w:ascii="Times New Roman" w:hAnsi="Times New Roman"/>
          <w:sz w:val="24"/>
          <w:szCs w:val="24"/>
        </w:rPr>
        <w:t xml:space="preserve"> 2002:42), hogy szoros kapcsolat áll </w:t>
      </w:r>
      <w:r w:rsidRPr="00DC446E">
        <w:rPr>
          <w:rFonts w:ascii="Times New Roman" w:hAnsi="Times New Roman"/>
          <w:sz w:val="24"/>
          <w:szCs w:val="24"/>
        </w:rPr>
        <w:lastRenderedPageBreak/>
        <w:t>fenn a demokratikus részvétel igényének kialakulása és a helyi közösségi pro</w:t>
      </w:r>
      <w:r w:rsidR="002E3492">
        <w:rPr>
          <w:rFonts w:ascii="Times New Roman" w:hAnsi="Times New Roman"/>
          <w:sz w:val="24"/>
          <w:szCs w:val="24"/>
        </w:rPr>
        <w:t>gramokban való részvétel között</w:t>
      </w:r>
      <w:r w:rsidRPr="00DC446E">
        <w:rPr>
          <w:rFonts w:ascii="Times New Roman" w:hAnsi="Times New Roman"/>
          <w:sz w:val="24"/>
          <w:szCs w:val="24"/>
        </w:rPr>
        <w:t>. Az Európai Bizottság a nyitott koordinációs módszer keretében számos ifjúsági részvételt ösztönző programot dolgozott ki, melyek alkalmazása a tagállamok hat</w:t>
      </w:r>
      <w:r w:rsidR="00A95A8B">
        <w:rPr>
          <w:rFonts w:ascii="Times New Roman" w:hAnsi="Times New Roman"/>
          <w:sz w:val="24"/>
          <w:szCs w:val="24"/>
        </w:rPr>
        <w:t>áskörébe tartozik.</w:t>
      </w:r>
      <w:r w:rsidR="002E3492">
        <w:rPr>
          <w:rFonts w:ascii="Times New Roman" w:hAnsi="Times New Roman"/>
          <w:sz w:val="24"/>
          <w:szCs w:val="24"/>
        </w:rPr>
        <w:t>(</w:t>
      </w:r>
      <w:r w:rsidR="002E3492">
        <w:rPr>
          <w:rFonts w:ascii="Times New Roman" w:hAnsi="Times New Roman"/>
          <w:smallCaps/>
          <w:sz w:val="24"/>
          <w:szCs w:val="24"/>
        </w:rPr>
        <w:t>denstad 2009:32).</w:t>
      </w:r>
      <w:r w:rsidR="00A95A8B">
        <w:rPr>
          <w:rFonts w:ascii="Times New Roman" w:hAnsi="Times New Roman"/>
          <w:sz w:val="24"/>
          <w:szCs w:val="24"/>
        </w:rPr>
        <w:t xml:space="preserve"> A </w:t>
      </w:r>
      <w:r w:rsidRPr="00DC446E">
        <w:rPr>
          <w:rFonts w:ascii="Times New Roman" w:hAnsi="Times New Roman"/>
          <w:sz w:val="24"/>
          <w:szCs w:val="24"/>
        </w:rPr>
        <w:t xml:space="preserve">részvétel ösztönzésére kidolgozott programok gyakorlatba ültetése </w:t>
      </w:r>
      <w:r w:rsidR="00A95A8B">
        <w:rPr>
          <w:rFonts w:ascii="Times New Roman" w:hAnsi="Times New Roman"/>
          <w:sz w:val="24"/>
          <w:szCs w:val="24"/>
        </w:rPr>
        <w:t xml:space="preserve">tagállamonként </w:t>
      </w:r>
      <w:r w:rsidRPr="00DC446E">
        <w:rPr>
          <w:rFonts w:ascii="Times New Roman" w:hAnsi="Times New Roman"/>
          <w:sz w:val="24"/>
          <w:szCs w:val="24"/>
        </w:rPr>
        <w:t xml:space="preserve">eltérő. </w:t>
      </w:r>
      <w:r w:rsidR="00D879E4" w:rsidRPr="00D879E4">
        <w:rPr>
          <w:rFonts w:ascii="Times New Roman" w:eastAsiaTheme="minorHAnsi" w:hAnsi="Times New Roman"/>
          <w:sz w:val="24"/>
          <w:szCs w:val="24"/>
        </w:rPr>
        <w:t xml:space="preserve">Az Olsen (2002: 923-924) </w:t>
      </w:r>
      <w:r w:rsidR="00D879E4">
        <w:rPr>
          <w:rFonts w:ascii="Times New Roman" w:eastAsiaTheme="minorHAnsi" w:hAnsi="Times New Roman"/>
          <w:sz w:val="24"/>
          <w:szCs w:val="24"/>
        </w:rPr>
        <w:t xml:space="preserve">által </w:t>
      </w:r>
      <w:r w:rsidR="00D879E4" w:rsidRPr="00D879E4">
        <w:rPr>
          <w:rFonts w:ascii="Times New Roman" w:eastAsiaTheme="minorHAnsi" w:hAnsi="Times New Roman"/>
          <w:sz w:val="24"/>
          <w:szCs w:val="24"/>
        </w:rPr>
        <w:t xml:space="preserve">használt öt megközelítést figyelembe véve a kutatás </w:t>
      </w:r>
      <w:r w:rsidR="00D879E4">
        <w:rPr>
          <w:rFonts w:ascii="Times New Roman" w:eastAsiaTheme="minorHAnsi" w:hAnsi="Times New Roman"/>
          <w:sz w:val="24"/>
          <w:szCs w:val="24"/>
        </w:rPr>
        <w:t xml:space="preserve">során </w:t>
      </w:r>
      <w:r w:rsidR="00D879E4" w:rsidRPr="00D879E4">
        <w:rPr>
          <w:rFonts w:ascii="Times New Roman" w:eastAsiaTheme="minorHAnsi" w:hAnsi="Times New Roman"/>
          <w:sz w:val="24"/>
          <w:szCs w:val="24"/>
        </w:rPr>
        <w:t>az európaizáció</w:t>
      </w:r>
      <w:r w:rsidR="00D879E4">
        <w:rPr>
          <w:rFonts w:ascii="Times New Roman" w:eastAsiaTheme="minorHAnsi" w:hAnsi="Times New Roman"/>
          <w:sz w:val="24"/>
          <w:szCs w:val="24"/>
        </w:rPr>
        <w:t xml:space="preserve"> vizsgálata a t</w:t>
      </w:r>
      <w:r w:rsidR="00D879E4" w:rsidRPr="00D879E4">
        <w:rPr>
          <w:rFonts w:ascii="Times New Roman" w:eastAsiaTheme="minorHAnsi" w:hAnsi="Times New Roman"/>
          <w:sz w:val="24"/>
          <w:szCs w:val="24"/>
        </w:rPr>
        <w:t xml:space="preserve">öbbszintű európai kormányzás alsóbb szintjein bekövetkező intézményi szerkezetre, szakpolitikákra, politikai viselkedésre vonatkozó hatások </w:t>
      </w:r>
      <w:r w:rsidR="00D879E4">
        <w:rPr>
          <w:rFonts w:ascii="Times New Roman" w:eastAsiaTheme="minorHAnsi" w:hAnsi="Times New Roman"/>
          <w:sz w:val="24"/>
          <w:szCs w:val="24"/>
        </w:rPr>
        <w:t xml:space="preserve">elemzését </w:t>
      </w:r>
      <w:r w:rsidR="00D879E4" w:rsidRPr="00D879E4">
        <w:rPr>
          <w:rFonts w:ascii="Times New Roman" w:eastAsiaTheme="minorHAnsi" w:hAnsi="Times New Roman"/>
          <w:sz w:val="24"/>
          <w:szCs w:val="24"/>
        </w:rPr>
        <w:t>foglalja magába.</w:t>
      </w:r>
      <w:r w:rsidR="00D879E4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446E">
        <w:rPr>
          <w:rFonts w:ascii="Times New Roman" w:eastAsiaTheme="minorHAnsi" w:hAnsi="Times New Roman"/>
          <w:sz w:val="24"/>
          <w:szCs w:val="24"/>
        </w:rPr>
        <w:t>Az Európai Unió közép-kelet-európai tagállamaira jellemző átpolitizált átültetési gyakorlat az alkalmazás és a kikényszeríthetőség terén ren</w:t>
      </w:r>
      <w:r w:rsidR="00A40E1D">
        <w:rPr>
          <w:rFonts w:ascii="Times New Roman" w:eastAsiaTheme="minorHAnsi" w:hAnsi="Times New Roman"/>
          <w:sz w:val="24"/>
          <w:szCs w:val="24"/>
        </w:rPr>
        <w:t>dszerszintű hiányosságokkal jár. A</w:t>
      </w:r>
      <w:r w:rsidRPr="00DC446E">
        <w:rPr>
          <w:rFonts w:ascii="Times New Roman" w:eastAsiaTheme="minorHAnsi" w:hAnsi="Times New Roman"/>
          <w:sz w:val="24"/>
          <w:szCs w:val="24"/>
        </w:rPr>
        <w:t xml:space="preserve"> térség teljesítési gyakorlatát a témát vizsgáló kutatások (</w:t>
      </w:r>
      <w:r w:rsidRPr="00DC446E">
        <w:rPr>
          <w:rFonts w:ascii="Times New Roman" w:eastAsiaTheme="minorHAnsi" w:hAnsi="Times New Roman"/>
          <w:smallCaps/>
          <w:sz w:val="24"/>
          <w:szCs w:val="24"/>
        </w:rPr>
        <w:t>Falkner-Treib</w:t>
      </w:r>
      <w:r w:rsidR="00DF6F67">
        <w:rPr>
          <w:rFonts w:ascii="Times New Roman" w:eastAsiaTheme="minorHAnsi" w:hAnsi="Times New Roman"/>
          <w:sz w:val="24"/>
          <w:szCs w:val="24"/>
        </w:rPr>
        <w:t xml:space="preserve"> 2007</w:t>
      </w:r>
      <w:r w:rsidRPr="00DC446E">
        <w:rPr>
          <w:rFonts w:ascii="Times New Roman" w:eastAsiaTheme="minorHAnsi" w:hAnsi="Times New Roman"/>
          <w:sz w:val="24"/>
          <w:szCs w:val="24"/>
        </w:rPr>
        <w:t>) „</w:t>
      </w:r>
      <w:r w:rsidRPr="00DC446E">
        <w:rPr>
          <w:rFonts w:ascii="Times New Roman" w:eastAsiaTheme="minorHAnsi" w:hAnsi="Times New Roman"/>
          <w:i/>
          <w:sz w:val="24"/>
          <w:szCs w:val="24"/>
        </w:rPr>
        <w:t>a halott betűk világa</w:t>
      </w:r>
      <w:r w:rsidRPr="00DC446E">
        <w:rPr>
          <w:rFonts w:ascii="Times New Roman" w:eastAsiaTheme="minorHAnsi" w:hAnsi="Times New Roman"/>
          <w:sz w:val="24"/>
          <w:szCs w:val="24"/>
        </w:rPr>
        <w:t xml:space="preserve">” kifejezéssel illetik, utalva arra, hogy a formálisan átültetett EU jogszabályok rendszerint papíron maradnak. </w:t>
      </w:r>
    </w:p>
    <w:p w:rsidR="00E3580B" w:rsidRPr="00DC446E" w:rsidRDefault="00E3580B" w:rsidP="00064A1F">
      <w:pPr>
        <w:spacing w:after="0" w:line="360" w:lineRule="auto"/>
        <w:ind w:firstLine="284"/>
        <w:jc w:val="both"/>
        <w:rPr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>Kutatásom célja annak feltárása, hogy az európai integráció keretében meghatározott közös ifjúságpolitikai célkitűzés, a részvétel ösztönzése miként valósul meg a magyar ifjúságpolitikában? Milyen jogszabályok és intézmények biztosítják a magyar fiatalok számára a közéleti részvétel lehetőségét?</w:t>
      </w:r>
      <w:r w:rsidRPr="00DC446E">
        <w:rPr>
          <w:rFonts w:ascii="Times New Roman" w:eastAsia="Meta-Normal--Identity-H" w:hAnsi="Times New Roman"/>
          <w:color w:val="111111"/>
          <w:sz w:val="24"/>
          <w:szCs w:val="24"/>
          <w:lang w:eastAsia="hu-HU"/>
        </w:rPr>
        <w:t xml:space="preserve"> </w:t>
      </w:r>
      <w:r w:rsidRPr="00DC446E">
        <w:rPr>
          <w:rFonts w:ascii="Times New Roman" w:hAnsi="Times New Roman"/>
          <w:sz w:val="24"/>
          <w:szCs w:val="24"/>
        </w:rPr>
        <w:t>A fiatalok részvételét ösztönző</w:t>
      </w:r>
      <w:r w:rsidR="0009175B">
        <w:rPr>
          <w:rFonts w:ascii="Times New Roman" w:hAnsi="Times New Roman"/>
          <w:sz w:val="24"/>
          <w:szCs w:val="24"/>
        </w:rPr>
        <w:t xml:space="preserve"> európai uniós</w:t>
      </w:r>
      <w:r w:rsidRPr="00DC446E">
        <w:rPr>
          <w:rFonts w:ascii="Times New Roman" w:hAnsi="Times New Roman"/>
          <w:sz w:val="24"/>
          <w:szCs w:val="24"/>
        </w:rPr>
        <w:t xml:space="preserve"> programok hogyan hatottak a magyar fiatalokat érintő döntési folyamatokra? </w:t>
      </w:r>
    </w:p>
    <w:p w:rsidR="00E3580B" w:rsidRPr="00DC446E" w:rsidRDefault="00E3580B" w:rsidP="0009175B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 xml:space="preserve">A kutatás hipotézise, hogy a </w:t>
      </w:r>
      <w:r w:rsidRPr="00DC446E">
        <w:rPr>
          <w:rFonts w:ascii="Times New Roman" w:eastAsiaTheme="minorHAnsi" w:hAnsi="Times New Roman"/>
          <w:sz w:val="24"/>
          <w:szCs w:val="24"/>
        </w:rPr>
        <w:t>közép-kelet-európai tagállamaiban jellemző átpolitizált átültetési gyakorlat</w:t>
      </w:r>
      <w:r w:rsidRPr="00DC446E">
        <w:rPr>
          <w:rFonts w:ascii="Times New Roman" w:hAnsi="Times New Roman"/>
          <w:sz w:val="24"/>
          <w:szCs w:val="24"/>
        </w:rPr>
        <w:t xml:space="preserve"> </w:t>
      </w:r>
      <w:r w:rsidR="0009175B">
        <w:rPr>
          <w:rFonts w:ascii="Times New Roman" w:hAnsi="Times New Roman"/>
          <w:sz w:val="24"/>
          <w:szCs w:val="24"/>
        </w:rPr>
        <w:t>a magyar i</w:t>
      </w:r>
      <w:r w:rsidRPr="00DC446E">
        <w:rPr>
          <w:rFonts w:ascii="Times New Roman" w:eastAsiaTheme="minorHAnsi" w:hAnsi="Times New Roman"/>
          <w:sz w:val="24"/>
          <w:szCs w:val="24"/>
        </w:rPr>
        <w:t xml:space="preserve">fjúságpolitika részvételt ösztönző célkitűzéseinek végrehajtásában is érvényesül, a </w:t>
      </w:r>
      <w:r w:rsidRPr="00DC446E">
        <w:rPr>
          <w:rFonts w:ascii="Times New Roman" w:hAnsi="Times New Roman"/>
          <w:sz w:val="24"/>
          <w:szCs w:val="24"/>
        </w:rPr>
        <w:t>formálisan jogszabályokba, fejlesztési tervekbe átültetetett közös célkitűzések végrehajtása esetleges. A célkitűzések végrehajtását helyi szinten nagyban meghatározza a települési önkormányzat és a fiatalok részvétel</w:t>
      </w:r>
      <w:r w:rsidR="007D34E1">
        <w:rPr>
          <w:rFonts w:ascii="Times New Roman" w:hAnsi="Times New Roman"/>
          <w:sz w:val="24"/>
          <w:szCs w:val="24"/>
        </w:rPr>
        <w:t>ét biztosító szervezetek közötti párbeszéd helyi</w:t>
      </w:r>
      <w:r w:rsidRPr="00DC446E">
        <w:rPr>
          <w:rFonts w:ascii="Times New Roman" w:hAnsi="Times New Roman"/>
          <w:sz w:val="24"/>
          <w:szCs w:val="24"/>
        </w:rPr>
        <w:t xml:space="preserve"> </w:t>
      </w:r>
      <w:r w:rsidR="006676DA">
        <w:rPr>
          <w:rFonts w:ascii="Times New Roman" w:hAnsi="Times New Roman"/>
          <w:sz w:val="24"/>
          <w:szCs w:val="24"/>
        </w:rPr>
        <w:t>jogszabályban rögzítése</w:t>
      </w:r>
      <w:r w:rsidRPr="00DC446E">
        <w:rPr>
          <w:rFonts w:ascii="Times New Roman" w:hAnsi="Times New Roman"/>
          <w:sz w:val="24"/>
          <w:szCs w:val="24"/>
        </w:rPr>
        <w:t>, a</w:t>
      </w:r>
      <w:r w:rsidR="007D34E1">
        <w:rPr>
          <w:rFonts w:ascii="Times New Roman" w:hAnsi="Times New Roman"/>
          <w:sz w:val="24"/>
          <w:szCs w:val="24"/>
        </w:rPr>
        <w:t>z egyezetésre létrehozzott</w:t>
      </w:r>
      <w:r w:rsidRPr="00DC446E">
        <w:rPr>
          <w:rFonts w:ascii="Times New Roman" w:hAnsi="Times New Roman"/>
          <w:sz w:val="24"/>
          <w:szCs w:val="24"/>
        </w:rPr>
        <w:t xml:space="preserve"> szervezet autonómiája, működési formája és a szervezet tagjaira vonatkozó választási eljárás. Minél több ideig, minél nagyobb autonómiával működik a fiatalokkal kialkított párbeszéd intézményrendszere, annál biztosabb, hogy a megfogalmazott célkitűzések a gyakorlatban alkalmazásra kerülnek.</w:t>
      </w:r>
    </w:p>
    <w:p w:rsidR="00E3580B" w:rsidRPr="00C6326F" w:rsidRDefault="00E3580B" w:rsidP="00E3580B">
      <w:pPr>
        <w:pStyle w:val="Cmsor2"/>
        <w:ind w:left="0" w:firstLine="0"/>
      </w:pPr>
      <w:r w:rsidRPr="00C6326F">
        <w:t>A</w:t>
      </w:r>
      <w:r>
        <w:t>z empirikus munka lépései</w:t>
      </w:r>
    </w:p>
    <w:p w:rsidR="00E3580B" w:rsidRPr="00DC446E" w:rsidRDefault="00E3580B" w:rsidP="00E3580B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3580B" w:rsidRPr="00DC446E" w:rsidRDefault="00A40E1D" w:rsidP="00B32D1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kutatás</w:t>
      </w:r>
      <w:r w:rsidR="00E3580B" w:rsidRPr="00DC446E">
        <w:rPr>
          <w:rFonts w:ascii="Times New Roman" w:hAnsi="Times New Roman"/>
          <w:sz w:val="24"/>
          <w:szCs w:val="24"/>
        </w:rPr>
        <w:t xml:space="preserve"> során alkalmazott stratégia a process tracing,</w:t>
      </w:r>
      <w:r w:rsidR="00E3580B" w:rsidRPr="00DC446E">
        <w:rPr>
          <w:rFonts w:ascii="Times New Roman" w:hAnsi="Times New Roman"/>
          <w:b/>
          <w:sz w:val="24"/>
          <w:szCs w:val="24"/>
        </w:rPr>
        <w:t xml:space="preserve"> </w:t>
      </w:r>
      <w:r w:rsidR="00E3580B" w:rsidRPr="00DC446E">
        <w:rPr>
          <w:rFonts w:ascii="Times New Roman" w:hAnsi="Times New Roman"/>
          <w:sz w:val="24"/>
          <w:szCs w:val="24"/>
        </w:rPr>
        <w:t>melynek keretében a az Európai Unióra vonatkozó elméletekből feltételezések</w:t>
      </w:r>
      <w:r>
        <w:rPr>
          <w:rFonts w:ascii="Times New Roman" w:hAnsi="Times New Roman"/>
          <w:sz w:val="24"/>
          <w:szCs w:val="24"/>
        </w:rPr>
        <w:t xml:space="preserve"> tehetők</w:t>
      </w:r>
      <w:r w:rsidR="00B32D12">
        <w:rPr>
          <w:rFonts w:ascii="Times New Roman" w:hAnsi="Times New Roman"/>
          <w:sz w:val="24"/>
          <w:szCs w:val="24"/>
        </w:rPr>
        <w:t>. A feltételezések</w:t>
      </w:r>
      <w:r w:rsidR="00E3580B" w:rsidRPr="00DC446E">
        <w:rPr>
          <w:rFonts w:ascii="Times New Roman" w:hAnsi="Times New Roman"/>
          <w:sz w:val="24"/>
          <w:szCs w:val="24"/>
        </w:rPr>
        <w:t xml:space="preserve"> „mintái” ezt követően összevetésre kerülnek esettanulmányok empirikus adataival. A kutatás kö</w:t>
      </w:r>
      <w:r w:rsidR="00085530">
        <w:rPr>
          <w:rFonts w:ascii="Times New Roman" w:hAnsi="Times New Roman"/>
          <w:sz w:val="24"/>
          <w:szCs w:val="24"/>
        </w:rPr>
        <w:t>veti a Radaelli - Pasquier (2008</w:t>
      </w:r>
      <w:r w:rsidR="00E3580B" w:rsidRPr="00DC446E">
        <w:rPr>
          <w:rFonts w:ascii="Times New Roman" w:hAnsi="Times New Roman"/>
          <w:sz w:val="24"/>
          <w:szCs w:val="24"/>
        </w:rPr>
        <w:t xml:space="preserve">:37-8) szerzőpáros által javasolt kutatási módszert: a szerzők az európaizációt interaktív, intézményesüléssel együtt járó folyamatként értelmezik. Az időbeli mintázatok </w:t>
      </w:r>
      <w:r w:rsidR="00E3580B" w:rsidRPr="00DC446E">
        <w:rPr>
          <w:rFonts w:ascii="Times New Roman" w:hAnsi="Times New Roman"/>
          <w:sz w:val="24"/>
          <w:szCs w:val="24"/>
        </w:rPr>
        <w:lastRenderedPageBreak/>
        <w:t xml:space="preserve">különösen fontosak: a kutatás különbséget tesz idő (amikor az esemény bekövetkezik), időzítés (az események bekövetkezése közötti időintervallumok) és tempo (az események bekövetkeztének sebessége) között. (Schmitter-Santiso 1998). </w:t>
      </w:r>
    </w:p>
    <w:p w:rsidR="00927576" w:rsidRDefault="00E3580B" w:rsidP="00927576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C446E">
        <w:rPr>
          <w:rFonts w:ascii="Times New Roman" w:hAnsi="Times New Roman"/>
          <w:sz w:val="24"/>
          <w:szCs w:val="24"/>
        </w:rPr>
        <w:t>A kutatás az adatgyűjtés tekintetében a Magyarországon elfogadott ifjúságpolitikai fejlesztési dokumentumok (helyi, megyei, regionális és országos cselekvési tervek és stratégiák) és jogszabályok tartalom-elemzésére, mélyinterjúkra, valamint résztvevő megfigyelésre támaszkodik. A politikai döntéshozók vélem</w:t>
      </w:r>
      <w:r w:rsidR="00A40E1D">
        <w:rPr>
          <w:rFonts w:ascii="Times New Roman" w:hAnsi="Times New Roman"/>
          <w:sz w:val="24"/>
          <w:szCs w:val="24"/>
        </w:rPr>
        <w:t>ényének megismerése mélyinterjúk készülnek a</w:t>
      </w:r>
      <w:r w:rsidRPr="00DC446E">
        <w:rPr>
          <w:rFonts w:ascii="Times New Roman" w:hAnsi="Times New Roman"/>
          <w:sz w:val="24"/>
          <w:szCs w:val="24"/>
        </w:rPr>
        <w:t xml:space="preserve"> mintába bevont települ</w:t>
      </w:r>
      <w:r w:rsidR="00B32D12">
        <w:rPr>
          <w:rFonts w:ascii="Times New Roman" w:hAnsi="Times New Roman"/>
          <w:sz w:val="24"/>
          <w:szCs w:val="24"/>
        </w:rPr>
        <w:t>ések polgármestereivel,</w:t>
      </w:r>
      <w:r w:rsidRPr="00DC446E">
        <w:rPr>
          <w:rFonts w:ascii="Times New Roman" w:hAnsi="Times New Roman"/>
          <w:sz w:val="24"/>
          <w:szCs w:val="24"/>
        </w:rPr>
        <w:t xml:space="preserve"> az ifjúsági önkormányzati testület</w:t>
      </w:r>
      <w:r w:rsidR="00A40E1D">
        <w:rPr>
          <w:rFonts w:ascii="Times New Roman" w:hAnsi="Times New Roman"/>
          <w:sz w:val="24"/>
          <w:szCs w:val="24"/>
        </w:rPr>
        <w:t>ek vezetőivel,</w:t>
      </w:r>
      <w:r w:rsidRPr="00DC446E">
        <w:rPr>
          <w:rFonts w:ascii="Times New Roman" w:hAnsi="Times New Roman"/>
          <w:sz w:val="24"/>
          <w:szCs w:val="24"/>
        </w:rPr>
        <w:t xml:space="preserve"> település ifjúsági referens</w:t>
      </w:r>
      <w:r w:rsidR="00A40E1D">
        <w:rPr>
          <w:rFonts w:ascii="Times New Roman" w:hAnsi="Times New Roman"/>
          <w:sz w:val="24"/>
          <w:szCs w:val="24"/>
        </w:rPr>
        <w:t>ekkel</w:t>
      </w:r>
      <w:r w:rsidRPr="00DC446E">
        <w:rPr>
          <w:rFonts w:ascii="Times New Roman" w:hAnsi="Times New Roman"/>
          <w:sz w:val="24"/>
          <w:szCs w:val="24"/>
        </w:rPr>
        <w:t xml:space="preserve"> valamint a fiatalok közéleti részvételének fejlesztéséért elkötelezett helyi civilszervezetek vezetőivel.</w:t>
      </w:r>
      <w:r w:rsidR="00927576" w:rsidRPr="00927576">
        <w:rPr>
          <w:rFonts w:ascii="Times New Roman" w:hAnsi="Times New Roman"/>
          <w:sz w:val="24"/>
          <w:szCs w:val="24"/>
        </w:rPr>
        <w:t xml:space="preserve"> </w:t>
      </w:r>
      <w:r w:rsidR="00927576" w:rsidRPr="00DC446E">
        <w:rPr>
          <w:rFonts w:ascii="Times New Roman" w:hAnsi="Times New Roman"/>
          <w:sz w:val="24"/>
          <w:szCs w:val="24"/>
        </w:rPr>
        <w:t>A vizsgálni kívánt oksági kapcsolatok feltárásához szükséges kvalitatív adatok a legfejlettebb, legtöbb erőforrással és legszélesebb hatáskörrel rendelkező</w:t>
      </w:r>
      <w:r w:rsidR="00D879E4">
        <w:rPr>
          <w:rFonts w:ascii="Times New Roman" w:hAnsi="Times New Roman"/>
          <w:sz w:val="24"/>
          <w:szCs w:val="24"/>
        </w:rPr>
        <w:t>, atipikus</w:t>
      </w:r>
      <w:r w:rsidR="00927576" w:rsidRPr="00DC446E">
        <w:rPr>
          <w:rFonts w:ascii="Times New Roman" w:hAnsi="Times New Roman"/>
          <w:sz w:val="24"/>
          <w:szCs w:val="24"/>
        </w:rPr>
        <w:t xml:space="preserve"> szervezetektől nyerhetők. </w:t>
      </w:r>
      <w:r w:rsidR="00D879E4">
        <w:rPr>
          <w:rFonts w:ascii="Times New Roman" w:hAnsi="Times New Roman"/>
          <w:sz w:val="24"/>
          <w:szCs w:val="24"/>
        </w:rPr>
        <w:t xml:space="preserve">Ezek </w:t>
      </w:r>
      <w:r w:rsidR="00927576" w:rsidRPr="00DC446E">
        <w:rPr>
          <w:rFonts w:ascii="Times New Roman" w:hAnsi="Times New Roman"/>
          <w:sz w:val="24"/>
          <w:szCs w:val="24"/>
        </w:rPr>
        <w:t>kiválasztáshoz a kutatás korábbi szakértői int</w:t>
      </w:r>
      <w:r w:rsidR="00927576">
        <w:rPr>
          <w:rFonts w:ascii="Times New Roman" w:hAnsi="Times New Roman"/>
          <w:sz w:val="24"/>
          <w:szCs w:val="24"/>
        </w:rPr>
        <w:t>erjúk eredményeire támaszkodik.</w:t>
      </w:r>
      <w:r w:rsidR="00927576" w:rsidRPr="00DC446E">
        <w:rPr>
          <w:rFonts w:ascii="Times New Roman" w:hAnsi="Times New Roman"/>
          <w:sz w:val="24"/>
          <w:szCs w:val="24"/>
        </w:rPr>
        <w:t xml:space="preserve"> A doktori disszertációm keretében elkészített szakértői interjúk eredményei </w:t>
      </w:r>
      <w:r w:rsidR="00DF6F67">
        <w:rPr>
          <w:rFonts w:ascii="Times New Roman" w:hAnsi="Times New Roman"/>
          <w:sz w:val="24"/>
          <w:szCs w:val="24"/>
        </w:rPr>
        <w:t>alapján ilyen esetek nagy számban a</w:t>
      </w:r>
      <w:r w:rsidR="00927576" w:rsidRPr="00DC446E">
        <w:rPr>
          <w:rFonts w:ascii="Times New Roman" w:hAnsi="Times New Roman"/>
          <w:sz w:val="24"/>
          <w:szCs w:val="24"/>
        </w:rPr>
        <w:t xml:space="preserve"> Dél-Alföldi Régióban</w:t>
      </w:r>
      <w:r w:rsidR="00DF6F67">
        <w:rPr>
          <w:rFonts w:ascii="Times New Roman" w:hAnsi="Times New Roman"/>
          <w:sz w:val="24"/>
          <w:szCs w:val="24"/>
        </w:rPr>
        <w:t xml:space="preserve"> találhatók, </w:t>
      </w:r>
      <w:r w:rsidR="00927576" w:rsidRPr="00DC446E">
        <w:rPr>
          <w:rFonts w:ascii="Times New Roman" w:hAnsi="Times New Roman"/>
          <w:sz w:val="24"/>
          <w:szCs w:val="24"/>
        </w:rPr>
        <w:t>ezért a kutatás területi dimenzi</w:t>
      </w:r>
      <w:r w:rsidR="00927576">
        <w:rPr>
          <w:rFonts w:ascii="Times New Roman" w:hAnsi="Times New Roman"/>
          <w:sz w:val="24"/>
          <w:szCs w:val="24"/>
        </w:rPr>
        <w:t xml:space="preserve">ója erre a régióra korlátozódik. </w:t>
      </w:r>
    </w:p>
    <w:p w:rsidR="00E3580B" w:rsidRPr="00DC446E" w:rsidRDefault="00B32D12" w:rsidP="00B32D12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7576" w:rsidRPr="00DC446E">
        <w:rPr>
          <w:rFonts w:ascii="Times New Roman" w:hAnsi="Times New Roman"/>
          <w:sz w:val="24"/>
          <w:szCs w:val="24"/>
        </w:rPr>
        <w:t>A kutatás adatelemzési technikák tekintetében dokumentum elemzésre és kval</w:t>
      </w:r>
      <w:r w:rsidR="00927576">
        <w:rPr>
          <w:rFonts w:ascii="Times New Roman" w:hAnsi="Times New Roman"/>
          <w:sz w:val="24"/>
          <w:szCs w:val="24"/>
        </w:rPr>
        <w:t>itatív tartalom-elemzésre épül.</w:t>
      </w:r>
      <w:r w:rsidR="00927576" w:rsidRPr="00DC446E">
        <w:rPr>
          <w:rFonts w:ascii="Times New Roman" w:hAnsi="Times New Roman"/>
          <w:sz w:val="24"/>
          <w:szCs w:val="24"/>
        </w:rPr>
        <w:t xml:space="preserve"> </w:t>
      </w:r>
      <w:r w:rsidR="00E3580B" w:rsidRPr="00DC446E">
        <w:rPr>
          <w:rFonts w:ascii="Times New Roman" w:hAnsi="Times New Roman"/>
          <w:sz w:val="24"/>
          <w:szCs w:val="24"/>
        </w:rPr>
        <w:t xml:space="preserve">A vizsgálatba bevont  szervezetek </w:t>
      </w:r>
      <w:r w:rsidR="00927576" w:rsidRPr="00DC446E">
        <w:rPr>
          <w:rFonts w:ascii="Times New Roman" w:hAnsi="Times New Roman"/>
          <w:sz w:val="24"/>
          <w:szCs w:val="24"/>
        </w:rPr>
        <w:t>elemzése felépítésük, döntéshozatali jogköreik, adminisztratív kapacitásaik és nemzetközi kapcsolataik mentén történik</w:t>
      </w:r>
      <w:r w:rsidR="00927576">
        <w:rPr>
          <w:rFonts w:ascii="Times New Roman" w:hAnsi="Times New Roman"/>
          <w:sz w:val="24"/>
          <w:szCs w:val="24"/>
        </w:rPr>
        <w:t xml:space="preserve">. E szervezetek </w:t>
      </w:r>
      <w:r w:rsidR="00E3580B" w:rsidRPr="00DC446E">
        <w:rPr>
          <w:rFonts w:ascii="Times New Roman" w:hAnsi="Times New Roman"/>
          <w:sz w:val="24"/>
          <w:szCs w:val="24"/>
        </w:rPr>
        <w:t>vizsgálatakor</w:t>
      </w:r>
      <w:r w:rsidR="00927576">
        <w:rPr>
          <w:rFonts w:ascii="Times New Roman" w:hAnsi="Times New Roman"/>
          <w:sz w:val="24"/>
          <w:szCs w:val="24"/>
        </w:rPr>
        <w:t xml:space="preserve"> a kutatás</w:t>
      </w:r>
      <w:r w:rsidR="00E3580B" w:rsidRPr="00DC446E">
        <w:rPr>
          <w:rFonts w:ascii="Times New Roman" w:hAnsi="Times New Roman"/>
          <w:sz w:val="24"/>
          <w:szCs w:val="24"/>
        </w:rPr>
        <w:t xml:space="preserve"> Radaelli</w:t>
      </w:r>
      <w:r>
        <w:rPr>
          <w:rFonts w:ascii="Times New Roman" w:hAnsi="Times New Roman"/>
          <w:sz w:val="24"/>
          <w:szCs w:val="24"/>
        </w:rPr>
        <w:t>-</w:t>
      </w:r>
      <w:r w:rsidRPr="00B32D12">
        <w:rPr>
          <w:rFonts w:ascii="Times New Roman" w:hAnsi="Times New Roman"/>
          <w:sz w:val="24"/>
          <w:szCs w:val="24"/>
        </w:rPr>
        <w:t xml:space="preserve"> </w:t>
      </w:r>
      <w:r w:rsidRPr="00DC446E">
        <w:rPr>
          <w:rFonts w:ascii="Times New Roman" w:hAnsi="Times New Roman"/>
          <w:sz w:val="24"/>
          <w:szCs w:val="24"/>
        </w:rPr>
        <w:t>Pasquier</w:t>
      </w:r>
      <w:r w:rsidR="00085530">
        <w:rPr>
          <w:rFonts w:ascii="Times New Roman" w:hAnsi="Times New Roman"/>
          <w:sz w:val="24"/>
          <w:szCs w:val="24"/>
        </w:rPr>
        <w:t xml:space="preserve"> (2008</w:t>
      </w:r>
      <w:r w:rsidR="00E3580B" w:rsidRPr="00DC446E">
        <w:rPr>
          <w:rFonts w:ascii="Times New Roman" w:hAnsi="Times New Roman"/>
          <w:sz w:val="24"/>
          <w:szCs w:val="24"/>
        </w:rPr>
        <w:t>:37) kategóriái mentén mind az intézményi változás mér</w:t>
      </w:r>
      <w:r w:rsidR="00A95A8B">
        <w:rPr>
          <w:rFonts w:ascii="Times New Roman" w:hAnsi="Times New Roman"/>
          <w:sz w:val="24"/>
          <w:szCs w:val="24"/>
        </w:rPr>
        <w:t xml:space="preserve">tékét, mind annak irányát méri, </w:t>
      </w:r>
      <w:r w:rsidR="00E3580B" w:rsidRPr="00DC446E">
        <w:rPr>
          <w:rFonts w:ascii="Times New Roman" w:hAnsi="Times New Roman"/>
          <w:sz w:val="24"/>
          <w:szCs w:val="24"/>
        </w:rPr>
        <w:t xml:space="preserve">a szakpolitikai változást intézményi környezetben ragadja meg. </w:t>
      </w:r>
    </w:p>
    <w:p w:rsidR="00E3580B" w:rsidRPr="00C6326F" w:rsidRDefault="00E3580B" w:rsidP="00E3580B">
      <w:pPr>
        <w:pStyle w:val="Cmsor2"/>
        <w:ind w:left="0" w:firstLine="0"/>
      </w:pPr>
      <w:bookmarkStart w:id="3" w:name="_Toc323747585"/>
      <w:bookmarkStart w:id="4" w:name="_Toc324512910"/>
      <w:bookmarkStart w:id="5" w:name="_Toc325957717"/>
      <w:r w:rsidRPr="00C6326F">
        <w:t>A kutatás várható eredményei</w:t>
      </w:r>
      <w:bookmarkEnd w:id="3"/>
      <w:bookmarkEnd w:id="4"/>
      <w:bookmarkEnd w:id="5"/>
    </w:p>
    <w:p w:rsidR="00E3580B" w:rsidRDefault="00E3580B" w:rsidP="00A40E1D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kutatás eredményei</w:t>
      </w:r>
      <w:r w:rsidR="00624441">
        <w:rPr>
          <w:rFonts w:ascii="Times New Roman" w:hAnsi="Times New Roman"/>
          <w:sz w:val="24"/>
          <w:szCs w:val="24"/>
        </w:rPr>
        <w:t>ből készített magyar és angol nyelvű tanulmány</w:t>
      </w:r>
      <w:r w:rsidRPr="00AD4A7D">
        <w:rPr>
          <w:rFonts w:ascii="Times New Roman" w:hAnsi="Times New Roman"/>
          <w:sz w:val="24"/>
          <w:szCs w:val="24"/>
        </w:rPr>
        <w:t xml:space="preserve"> </w:t>
      </w:r>
      <w:r w:rsidRPr="00932D2D">
        <w:rPr>
          <w:rFonts w:ascii="Times New Roman" w:hAnsi="Times New Roman"/>
          <w:sz w:val="24"/>
          <w:szCs w:val="24"/>
        </w:rPr>
        <w:t>visszaje</w:t>
      </w:r>
      <w:r w:rsidR="00624441">
        <w:rPr>
          <w:rFonts w:ascii="Times New Roman" w:hAnsi="Times New Roman"/>
          <w:sz w:val="24"/>
          <w:szCs w:val="24"/>
        </w:rPr>
        <w:t>lzést ad</w:t>
      </w:r>
      <w:r>
        <w:rPr>
          <w:rFonts w:ascii="Times New Roman" w:hAnsi="Times New Roman"/>
          <w:sz w:val="24"/>
          <w:szCs w:val="24"/>
        </w:rPr>
        <w:t xml:space="preserve"> egyfelől a</w:t>
      </w:r>
      <w:r w:rsidRPr="00932D2D">
        <w:rPr>
          <w:rFonts w:ascii="Times New Roman" w:hAnsi="Times New Roman"/>
          <w:sz w:val="24"/>
          <w:szCs w:val="24"/>
        </w:rPr>
        <w:t xml:space="preserve"> </w:t>
      </w:r>
      <w:r w:rsidR="00624441">
        <w:rPr>
          <w:rFonts w:ascii="Times New Roman" w:hAnsi="Times New Roman"/>
          <w:sz w:val="24"/>
          <w:szCs w:val="24"/>
        </w:rPr>
        <w:t xml:space="preserve">magyar </w:t>
      </w:r>
      <w:r w:rsidRPr="00932D2D">
        <w:rPr>
          <w:rFonts w:ascii="Times New Roman" w:hAnsi="Times New Roman"/>
          <w:sz w:val="24"/>
          <w:szCs w:val="24"/>
        </w:rPr>
        <w:t>ifjúságpolitika felé</w:t>
      </w:r>
      <w:r w:rsidRPr="00AD4A7D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932D2D">
        <w:rPr>
          <w:rFonts w:ascii="Times New Roman" w:hAnsi="Times New Roman"/>
          <w:sz w:val="24"/>
          <w:szCs w:val="24"/>
          <w:lang w:eastAsia="hu-HU"/>
        </w:rPr>
        <w:t>a</w:t>
      </w:r>
      <w:r>
        <w:rPr>
          <w:rFonts w:ascii="Times New Roman" w:hAnsi="Times New Roman"/>
          <w:sz w:val="24"/>
          <w:szCs w:val="24"/>
          <w:lang w:eastAsia="hu-HU"/>
        </w:rPr>
        <w:t xml:space="preserve"> szakterületen érvényesülő</w:t>
      </w:r>
      <w:r w:rsidRPr="00932D2D">
        <w:rPr>
          <w:rFonts w:ascii="Times New Roman" w:hAnsi="Times New Roman"/>
          <w:sz w:val="24"/>
          <w:szCs w:val="24"/>
          <w:lang w:eastAsia="hu-HU"/>
        </w:rPr>
        <w:t xml:space="preserve"> végrehajtás és alkalmazás “street-level” szintű aspektusai</w:t>
      </w:r>
      <w:r>
        <w:rPr>
          <w:rFonts w:ascii="Times New Roman" w:hAnsi="Times New Roman"/>
          <w:sz w:val="24"/>
          <w:szCs w:val="24"/>
          <w:lang w:eastAsia="hu-HU"/>
        </w:rPr>
        <w:t>ról,</w:t>
      </w:r>
      <w:r w:rsidRPr="00932D2D">
        <w:rPr>
          <w:rFonts w:ascii="Times New Roman" w:hAnsi="Times New Roman"/>
          <w:sz w:val="24"/>
          <w:szCs w:val="24"/>
        </w:rPr>
        <w:t xml:space="preserve"> másfelől</w:t>
      </w:r>
      <w:r>
        <w:rPr>
          <w:rFonts w:ascii="Times New Roman" w:hAnsi="Times New Roman"/>
          <w:sz w:val="24"/>
          <w:szCs w:val="24"/>
        </w:rPr>
        <w:t xml:space="preserve"> a kutatás</w:t>
      </w:r>
      <w:r w:rsidRPr="00932D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révén létrejövő adatbázis lehetővé teszi a magyar ifjúságpolitika ifjúsági érdekegyzetetés terén elért jó gyakorlatainak nemzetközi szempontú összevetését, ezáltal  </w:t>
      </w:r>
      <w:r w:rsidRPr="00932D2D">
        <w:rPr>
          <w:rFonts w:ascii="Times New Roman" w:hAnsi="Times New Roman"/>
          <w:sz w:val="24"/>
          <w:szCs w:val="24"/>
        </w:rPr>
        <w:t>hasznos információkkal szolgálhat az Európai Unió tényeken alapuló szakpolitika alkotása számára</w:t>
      </w:r>
      <w:r>
        <w:rPr>
          <w:rFonts w:ascii="Times New Roman" w:hAnsi="Times New Roman"/>
          <w:sz w:val="24"/>
          <w:szCs w:val="24"/>
        </w:rPr>
        <w:t>.</w:t>
      </w:r>
    </w:p>
    <w:p w:rsidR="002E3492" w:rsidRDefault="002E3492" w:rsidP="00A40E1D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E3492" w:rsidRDefault="002E3492" w:rsidP="00A40E1D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3580B" w:rsidRPr="00C559F3" w:rsidRDefault="00E3580B" w:rsidP="00E3580B">
      <w:pPr>
        <w:pStyle w:val="Cmsor2"/>
        <w:spacing w:after="240"/>
        <w:ind w:left="0" w:firstLine="0"/>
        <w:jc w:val="left"/>
        <w:rPr>
          <w:rFonts w:ascii="Times New Roman" w:hAnsi="Times New Roman"/>
          <w:b w:val="0"/>
          <w:sz w:val="22"/>
          <w:szCs w:val="22"/>
        </w:rPr>
      </w:pPr>
      <w:r w:rsidRPr="004A6148">
        <w:rPr>
          <w:rFonts w:ascii="Times New Roman" w:hAnsi="Times New Roman"/>
        </w:rPr>
        <w:lastRenderedPageBreak/>
        <w:t>Munkaterv</w:t>
      </w:r>
      <w:bookmarkEnd w:id="0"/>
      <w:bookmarkEnd w:id="1"/>
      <w:bookmarkEnd w:id="2"/>
    </w:p>
    <w:tbl>
      <w:tblPr>
        <w:tblW w:w="958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67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60"/>
      </w:tblGrid>
      <w:tr w:rsidR="00E3580B" w:rsidRPr="00D9097D" w:rsidTr="000208CE">
        <w:trPr>
          <w:trHeight w:val="27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B" w:rsidRPr="00C559F3" w:rsidRDefault="00E3580B" w:rsidP="00E35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29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80B" w:rsidRPr="00C559F3" w:rsidRDefault="00E3580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2013</w:t>
            </w:r>
          </w:p>
        </w:tc>
      </w:tr>
      <w:tr w:rsidR="00DC550B" w:rsidRPr="00D9097D" w:rsidTr="00DC550B">
        <w:trPr>
          <w:trHeight w:val="3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D62499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D62499">
              <w:rPr>
                <w:rFonts w:ascii="Times New Roman" w:eastAsia="Times New Roman" w:hAnsi="Times New Roman"/>
                <w:lang w:eastAsia="hu-HU"/>
              </w:rPr>
              <w:t>Hónap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D26B5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C559F3">
              <w:rPr>
                <w:rFonts w:ascii="Times New Roman" w:eastAsia="Times New Roman" w:hAnsi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/>
                <w:lang w:eastAsia="hu-HU"/>
              </w:rPr>
              <w:t>0</w:t>
            </w: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3047C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Adatgyűjtés és dokumentum-elemzés: a mintába bevont településeke</w:t>
            </w:r>
            <w:r w:rsidR="003047C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n működő intézmények</w:t>
            </w: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jogszabály</w:t>
            </w:r>
            <w:r w:rsidR="003047C1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ainak, </w:t>
            </w: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belső szabályzatainak elemzése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E35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Az esettanulmányhoz kapcsolódó 20 mélyinterjú elkészítése, valamint a  kiválasztott 8 település vizsgálata résztvevő megfigyelés útján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E35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Fókuszcsoportos interjú a mintába bevont településeken működő intézményekben részt vevő fiatalokkal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882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kapott eredmények ellenőrzése, adatfeldolgozás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88286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Tanulmányírás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DC550B" w:rsidRPr="00D9097D" w:rsidTr="00DC550B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0208CE" w:rsidRDefault="00D26B5B" w:rsidP="00E3580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0208C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A kapott eredmények disszeminációja, részvétel nemzetközi tudományos konferencián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26B5B" w:rsidRPr="00C559F3" w:rsidRDefault="00D26B5B" w:rsidP="00E3580B">
            <w:pPr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E3580B" w:rsidRPr="00C559F3" w:rsidRDefault="00631121" w:rsidP="00E3580B">
      <w:pPr>
        <w:spacing w:after="0" w:line="240" w:lineRule="auto"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E3580B">
        <w:rPr>
          <w:rFonts w:ascii="Times New Roman" w:hAnsi="Times New Roman"/>
          <w:b/>
        </w:rPr>
        <w:t xml:space="preserve">. </w:t>
      </w:r>
      <w:r w:rsidR="00E3580B" w:rsidRPr="00C559F3">
        <w:rPr>
          <w:rFonts w:ascii="Times New Roman" w:hAnsi="Times New Roman"/>
          <w:b/>
        </w:rPr>
        <w:t>ábra: a kutatás Gantt diagramja</w:t>
      </w:r>
    </w:p>
    <w:p w:rsidR="002E3492" w:rsidRPr="000208CE" w:rsidRDefault="002E3492" w:rsidP="00DC550B">
      <w:pPr>
        <w:jc w:val="both"/>
        <w:rPr>
          <w:rFonts w:ascii="Times New Roman" w:hAnsi="Times New Roman"/>
          <w:b/>
          <w:sz w:val="24"/>
          <w:szCs w:val="24"/>
        </w:rPr>
      </w:pPr>
      <w:r w:rsidRPr="000208CE">
        <w:rPr>
          <w:rFonts w:ascii="Times New Roman" w:hAnsi="Times New Roman"/>
          <w:b/>
          <w:sz w:val="24"/>
          <w:szCs w:val="24"/>
        </w:rPr>
        <w:t>Bibliográfia: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Denstad </w:t>
      </w:r>
      <w:r w:rsidRPr="001E2D05">
        <w:rPr>
          <w:rFonts w:ascii="Times New Roman" w:hAnsi="Times New Roman"/>
          <w:sz w:val="24"/>
          <w:szCs w:val="24"/>
          <w:lang w:val="en-GB"/>
        </w:rPr>
        <w:t>F.Y. [2009]: Youth Policy Manual; How to develop a national youth strategy Council of Europe Publishing, Strassbourg.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en-GB"/>
        </w:rPr>
      </w:pPr>
      <w:r w:rsidRPr="001E2D05">
        <w:rPr>
          <w:rFonts w:ascii="Times New Roman" w:hAnsi="Times New Roman"/>
          <w:bCs/>
          <w:smallCaps/>
          <w:sz w:val="24"/>
          <w:szCs w:val="24"/>
          <w:lang w:val="en-GB"/>
        </w:rPr>
        <w:t>Falkner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 G. and </w:t>
      </w:r>
      <w:r w:rsidRPr="001E2D05">
        <w:rPr>
          <w:rFonts w:ascii="Times New Roman" w:hAnsi="Times New Roman"/>
          <w:bCs/>
          <w:smallCaps/>
          <w:sz w:val="24"/>
          <w:szCs w:val="24"/>
          <w:lang w:val="en-GB"/>
        </w:rPr>
        <w:t>Treib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, O.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[2007]: 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 xml:space="preserve">Three Worlds of Compliance or Four?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The EU15 Compared to New Member States, </w:t>
      </w:r>
      <w:r w:rsidRPr="001E2D05">
        <w:rPr>
          <w:rFonts w:ascii="Times New Roman" w:hAnsi="Times New Roman"/>
          <w:bCs/>
          <w:i/>
          <w:sz w:val="24"/>
          <w:szCs w:val="24"/>
          <w:lang w:val="en-GB"/>
        </w:rPr>
        <w:t>Political Science Series</w:t>
      </w:r>
      <w:r w:rsidRPr="001E2D05">
        <w:rPr>
          <w:rFonts w:ascii="Times New Roman" w:hAnsi="Times New Roman"/>
          <w:bCs/>
          <w:sz w:val="24"/>
          <w:szCs w:val="24"/>
          <w:lang w:val="en-GB"/>
        </w:rPr>
        <w:t>, Institute for Advanced Studies, Vienna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Forbrig</w:t>
      </w:r>
      <w:r w:rsidRPr="001E2D05">
        <w:rPr>
          <w:rFonts w:ascii="Times New Roman" w:hAnsi="Times New Roman"/>
          <w:sz w:val="24"/>
          <w:szCs w:val="24"/>
          <w:lang w:val="en-GB"/>
        </w:rPr>
        <w:t>, J. [2005]:</w:t>
      </w:r>
      <w:r w:rsidRPr="001E2D05">
        <w:rPr>
          <w:rFonts w:ascii="Times New Roman" w:hAnsi="Times New Roman"/>
          <w:i/>
          <w:sz w:val="24"/>
          <w:szCs w:val="24"/>
          <w:lang w:val="en-GB"/>
        </w:rPr>
        <w:t xml:space="preserve"> Revisiting youth political participation, Challenges for research and democratic practice in Europe.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Council of Europe Publishing</w:t>
      </w:r>
    </w:p>
    <w:p w:rsidR="003047C1" w:rsidRDefault="003047C1" w:rsidP="003047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eta-Normal--Identity-H" w:hAnsi="Times New Roman"/>
          <w:sz w:val="24"/>
          <w:szCs w:val="24"/>
          <w:lang w:val="en-GB"/>
        </w:rPr>
      </w:pPr>
      <w:r w:rsidRPr="001E2D05">
        <w:rPr>
          <w:rFonts w:ascii="Times New Roman" w:eastAsia="Meta-Normal--Identity-H" w:hAnsi="Times New Roman"/>
          <w:smallCaps/>
          <w:sz w:val="24"/>
          <w:szCs w:val="24"/>
          <w:lang w:val="en-GB"/>
        </w:rPr>
        <w:t>Kovacheva</w:t>
      </w:r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 xml:space="preserve">, S. </w:t>
      </w:r>
      <w:r w:rsidRPr="001E2D05">
        <w:rPr>
          <w:rFonts w:ascii="Times New Roman" w:hAnsi="Times New Roman"/>
          <w:sz w:val="24"/>
          <w:szCs w:val="24"/>
          <w:lang w:val="en-GB"/>
        </w:rPr>
        <w:t>[2000]:</w:t>
      </w:r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 xml:space="preserve"> </w:t>
      </w:r>
      <w:r w:rsidRPr="001E2D05">
        <w:rPr>
          <w:rFonts w:ascii="Times New Roman" w:eastAsia="MetaNormal-Italic--Identity-H" w:hAnsi="Times New Roman"/>
          <w:i/>
          <w:iCs/>
          <w:sz w:val="24"/>
          <w:szCs w:val="24"/>
          <w:lang w:val="en-GB"/>
        </w:rPr>
        <w:t xml:space="preserve">Keys to Youth Participation in Eastern Europe </w:t>
      </w:r>
      <w:r w:rsidRPr="001E2D05">
        <w:rPr>
          <w:rFonts w:ascii="Times New Roman" w:eastAsia="Meta-Normal--Identity-H" w:hAnsi="Times New Roman"/>
          <w:sz w:val="24"/>
          <w:szCs w:val="24"/>
          <w:lang w:val="en-GB"/>
        </w:rPr>
        <w:t>(Strasbourg: Council of Europe).</w:t>
      </w:r>
    </w:p>
    <w:p w:rsidR="003047C1" w:rsidRPr="001E2D05" w:rsidRDefault="003047C1" w:rsidP="003047C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eta-Normal--Identity-H" w:hAnsi="Times New Roman"/>
          <w:sz w:val="24"/>
          <w:szCs w:val="24"/>
          <w:lang w:val="en-GB"/>
        </w:rPr>
      </w:pPr>
      <w:r w:rsidRPr="001F3BBD">
        <w:rPr>
          <w:rFonts w:ascii="Times New Roman" w:hAnsi="Times New Roman"/>
          <w:smallCaps/>
          <w:sz w:val="24"/>
          <w:szCs w:val="24"/>
        </w:rPr>
        <w:t>Kovacheva</w:t>
      </w:r>
      <w:r w:rsidRPr="002927A1"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.</w:t>
      </w:r>
      <w:r w:rsidRPr="002927A1">
        <w:rPr>
          <w:rFonts w:ascii="Times New Roman" w:hAnsi="Times New Roman"/>
          <w:sz w:val="24"/>
          <w:szCs w:val="24"/>
        </w:rPr>
        <w:t xml:space="preserve"> [2005]:</w:t>
      </w:r>
      <w:r w:rsidRPr="002927A1">
        <w:rPr>
          <w:rStyle w:val="Kiemels2"/>
          <w:rFonts w:ascii="Times New Roman" w:hAnsi="Times New Roman"/>
          <w:sz w:val="24"/>
          <w:szCs w:val="24"/>
        </w:rPr>
        <w:t xml:space="preserve"> </w:t>
      </w:r>
      <w:r w:rsidRPr="003047C1">
        <w:rPr>
          <w:rStyle w:val="Kiemels2"/>
          <w:rFonts w:ascii="Times New Roman" w:hAnsi="Times New Roman"/>
          <w:b w:val="0"/>
          <w:sz w:val="24"/>
          <w:szCs w:val="24"/>
        </w:rPr>
        <w:t>Will youth rejuvenate the patterns of political participation?</w:t>
      </w:r>
      <w:r w:rsidRPr="002927A1">
        <w:rPr>
          <w:rFonts w:ascii="Times New Roman" w:hAnsi="Times New Roman"/>
          <w:sz w:val="24"/>
          <w:szCs w:val="24"/>
        </w:rPr>
        <w:t xml:space="preserve"> In: Forbrig, J</w:t>
      </w:r>
      <w:r w:rsidRPr="002927A1">
        <w:rPr>
          <w:rFonts w:ascii="Times New Roman" w:hAnsi="Times New Roman"/>
          <w:i/>
          <w:sz w:val="24"/>
          <w:szCs w:val="24"/>
        </w:rPr>
        <w:t xml:space="preserve">.: </w:t>
      </w:r>
      <w:r w:rsidRPr="002927A1">
        <w:rPr>
          <w:rFonts w:ascii="Times New Roman" w:hAnsi="Times New Roman"/>
          <w:sz w:val="24"/>
          <w:szCs w:val="24"/>
        </w:rPr>
        <w:t>Revisiting youth political participation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27A1">
        <w:rPr>
          <w:rFonts w:ascii="Times New Roman" w:hAnsi="Times New Roman"/>
          <w:sz w:val="24"/>
          <w:szCs w:val="24"/>
        </w:rPr>
        <w:t>Council of Europe Publishing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Mill</w:t>
      </w:r>
      <w:r>
        <w:rPr>
          <w:rFonts w:ascii="Times New Roman" w:hAnsi="Times New Roman"/>
          <w:sz w:val="24"/>
          <w:szCs w:val="24"/>
          <w:lang w:val="en-GB"/>
        </w:rPr>
        <w:t>, J. S.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[2001]: On Liberty (first published in 1859). Kitchener: Batoche Books.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Olsen 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J. P. [2002]: The many faces of Europeanization. </w:t>
      </w:r>
      <w:r w:rsidRPr="001E2D05">
        <w:rPr>
          <w:rFonts w:ascii="Times New Roman" w:hAnsi="Times New Roman"/>
          <w:i/>
          <w:sz w:val="24"/>
          <w:szCs w:val="24"/>
          <w:lang w:val="en-GB"/>
        </w:rPr>
        <w:t>Journal of Common Market Studies, 40(5) 921-52.</w:t>
      </w:r>
    </w:p>
    <w:p w:rsidR="003047C1" w:rsidRPr="001E2D05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Radaelli</w:t>
      </w:r>
      <w:r>
        <w:rPr>
          <w:rFonts w:ascii="Times New Roman" w:hAnsi="Times New Roman"/>
          <w:sz w:val="24"/>
          <w:szCs w:val="24"/>
          <w:lang w:val="en-GB"/>
        </w:rPr>
        <w:t>, C.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M. and </w:t>
      </w:r>
      <w:r w:rsidRPr="001E2D05">
        <w:rPr>
          <w:rFonts w:ascii="Times New Roman" w:hAnsi="Times New Roman"/>
          <w:smallCaps/>
          <w:sz w:val="24"/>
          <w:szCs w:val="24"/>
          <w:lang w:val="en-GB"/>
        </w:rPr>
        <w:t>Pasquier</w:t>
      </w:r>
      <w:r>
        <w:rPr>
          <w:rFonts w:ascii="Times New Roman" w:hAnsi="Times New Roman"/>
          <w:sz w:val="24"/>
          <w:szCs w:val="24"/>
          <w:lang w:val="en-GB"/>
        </w:rPr>
        <w:t>, R.</w:t>
      </w:r>
      <w:r w:rsidRPr="001E2D05">
        <w:rPr>
          <w:rFonts w:ascii="Times New Roman" w:hAnsi="Times New Roman"/>
          <w:sz w:val="24"/>
          <w:szCs w:val="24"/>
          <w:lang w:val="en-GB"/>
        </w:rPr>
        <w:t xml:space="preserve"> (2008). “Conceptual Issues”. In: Vink, Maarten P. and Graziano, Paolo [2008]: Europeanization  – New Research Agendas. Basingstoke: Palgrave Macmillan.</w:t>
      </w:r>
    </w:p>
    <w:p w:rsidR="003047C1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2D05">
        <w:rPr>
          <w:rFonts w:ascii="Times New Roman" w:hAnsi="Times New Roman"/>
          <w:smallCaps/>
          <w:sz w:val="24"/>
          <w:szCs w:val="24"/>
          <w:lang w:val="en-GB"/>
        </w:rPr>
        <w:t>Schmitter</w:t>
      </w:r>
      <w:r w:rsidRPr="001E2D05">
        <w:rPr>
          <w:rFonts w:ascii="Times New Roman" w:hAnsi="Times New Roman"/>
          <w:sz w:val="24"/>
          <w:szCs w:val="24"/>
          <w:lang w:val="en-GB"/>
        </w:rPr>
        <w:t>, P. C. and J.</w:t>
      </w:r>
      <w:r w:rsidRPr="001E2D05">
        <w:rPr>
          <w:rFonts w:ascii="Times New Roman" w:hAnsi="Times New Roman"/>
          <w:smallCaps/>
          <w:sz w:val="24"/>
          <w:szCs w:val="24"/>
          <w:lang w:val="en-GB"/>
        </w:rPr>
        <w:t xml:space="preserve"> Santiso </w:t>
      </w:r>
      <w:r w:rsidRPr="001E2D05">
        <w:rPr>
          <w:rFonts w:ascii="Times New Roman" w:hAnsi="Times New Roman"/>
          <w:sz w:val="24"/>
          <w:szCs w:val="24"/>
          <w:lang w:val="en-GB"/>
        </w:rPr>
        <w:t>[1998]:‘Three Temporal Dimensions to the Consolidation of Democracy’,  International Political Science Review  19 (1),  69-92</w:t>
      </w:r>
    </w:p>
    <w:p w:rsidR="003047C1" w:rsidRPr="00DC550B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047C1">
        <w:rPr>
          <w:rFonts w:ascii="Times New Roman" w:hAnsi="Times New Roman"/>
          <w:smallCaps/>
          <w:sz w:val="24"/>
          <w:szCs w:val="24"/>
        </w:rPr>
        <w:t>Tocqueville,</w:t>
      </w:r>
      <w:r w:rsidRPr="00DC550B">
        <w:rPr>
          <w:rFonts w:ascii="Times New Roman" w:hAnsi="Times New Roman"/>
          <w:sz w:val="24"/>
          <w:szCs w:val="24"/>
        </w:rPr>
        <w:t xml:space="preserve"> A. [1983.]: </w:t>
      </w:r>
      <w:r w:rsidRPr="00DC550B">
        <w:rPr>
          <w:rFonts w:ascii="Times New Roman" w:hAnsi="Times New Roman"/>
          <w:i/>
          <w:sz w:val="24"/>
          <w:szCs w:val="24"/>
        </w:rPr>
        <w:t>A demokrácia Amerikában</w:t>
      </w:r>
      <w:r>
        <w:rPr>
          <w:rFonts w:ascii="Times New Roman" w:hAnsi="Times New Roman"/>
          <w:sz w:val="24"/>
          <w:szCs w:val="24"/>
        </w:rPr>
        <w:t>,</w:t>
      </w:r>
      <w:r w:rsidRPr="00DC550B">
        <w:rPr>
          <w:rFonts w:ascii="Times New Roman" w:hAnsi="Times New Roman"/>
          <w:sz w:val="24"/>
          <w:szCs w:val="24"/>
        </w:rPr>
        <w:t xml:space="preserve"> Budapest, Gondolat Kiadó.</w:t>
      </w:r>
    </w:p>
    <w:p w:rsidR="003047C1" w:rsidRPr="00DC550B" w:rsidRDefault="003047C1" w:rsidP="003047C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  <w:lang w:val="en-GB"/>
        </w:rPr>
        <w:t>W</w:t>
      </w:r>
      <w:r w:rsidRPr="001E2D05">
        <w:rPr>
          <w:rFonts w:ascii="Times New Roman" w:hAnsi="Times New Roman"/>
          <w:smallCaps/>
          <w:sz w:val="24"/>
          <w:szCs w:val="24"/>
          <w:lang w:val="en-GB"/>
        </w:rPr>
        <w:t>illiamson</w:t>
      </w:r>
      <w:r w:rsidRPr="001E2D05">
        <w:rPr>
          <w:rFonts w:ascii="Times New Roman" w:hAnsi="Times New Roman"/>
          <w:sz w:val="24"/>
          <w:szCs w:val="24"/>
          <w:lang w:val="en-GB"/>
        </w:rPr>
        <w:t>, H. [2002]: Supporting young people in Europe: principles, policy and practice. The Council of Europe international reviews of national youth policy 1997-2001- a synthesis report, Strasbourg</w:t>
      </w:r>
    </w:p>
    <w:sectPr w:rsidR="003047C1" w:rsidRPr="00DC550B" w:rsidSect="00D26B5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FA" w:rsidRDefault="00FA1CFA" w:rsidP="00624441">
      <w:pPr>
        <w:spacing w:after="0" w:line="240" w:lineRule="auto"/>
      </w:pPr>
      <w:r>
        <w:separator/>
      </w:r>
    </w:p>
  </w:endnote>
  <w:endnote w:type="continuationSeparator" w:id="0">
    <w:p w:rsidR="00FA1CFA" w:rsidRDefault="00FA1CFA" w:rsidP="006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eta-Normal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taNormal-Italic-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2852"/>
      <w:docPartObj>
        <w:docPartGallery w:val="Page Numbers (Bottom of Page)"/>
        <w:docPartUnique/>
      </w:docPartObj>
    </w:sdtPr>
    <w:sdtContent>
      <w:p w:rsidR="00064A1F" w:rsidRDefault="008C4A71">
        <w:pPr>
          <w:pStyle w:val="llb"/>
          <w:jc w:val="center"/>
        </w:pPr>
        <w:fldSimple w:instr=" PAGE   \* MERGEFORMAT ">
          <w:r w:rsidR="003047C1">
            <w:t>4</w:t>
          </w:r>
        </w:fldSimple>
      </w:p>
    </w:sdtContent>
  </w:sdt>
  <w:p w:rsidR="00064A1F" w:rsidRDefault="00064A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FA" w:rsidRDefault="00FA1CFA" w:rsidP="00624441">
      <w:pPr>
        <w:spacing w:after="0" w:line="240" w:lineRule="auto"/>
      </w:pPr>
      <w:r>
        <w:separator/>
      </w:r>
    </w:p>
  </w:footnote>
  <w:footnote w:type="continuationSeparator" w:id="0">
    <w:p w:rsidR="00FA1CFA" w:rsidRDefault="00FA1CFA" w:rsidP="0062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EE4"/>
    <w:multiLevelType w:val="hybridMultilevel"/>
    <w:tmpl w:val="D7544A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80B"/>
    <w:rsid w:val="00006DFA"/>
    <w:rsid w:val="000208CE"/>
    <w:rsid w:val="00040B47"/>
    <w:rsid w:val="000447DF"/>
    <w:rsid w:val="00064A1F"/>
    <w:rsid w:val="00085530"/>
    <w:rsid w:val="0009175B"/>
    <w:rsid w:val="001241A7"/>
    <w:rsid w:val="001375DB"/>
    <w:rsid w:val="001E344E"/>
    <w:rsid w:val="001E77F7"/>
    <w:rsid w:val="002059E5"/>
    <w:rsid w:val="00217128"/>
    <w:rsid w:val="00240258"/>
    <w:rsid w:val="002912CB"/>
    <w:rsid w:val="002E3492"/>
    <w:rsid w:val="003047C1"/>
    <w:rsid w:val="003C7992"/>
    <w:rsid w:val="0057302A"/>
    <w:rsid w:val="005C5026"/>
    <w:rsid w:val="00624441"/>
    <w:rsid w:val="00631121"/>
    <w:rsid w:val="006676DA"/>
    <w:rsid w:val="007142CB"/>
    <w:rsid w:val="007D34E1"/>
    <w:rsid w:val="007F7654"/>
    <w:rsid w:val="00820F81"/>
    <w:rsid w:val="00882861"/>
    <w:rsid w:val="008C4A71"/>
    <w:rsid w:val="008E20FF"/>
    <w:rsid w:val="00927576"/>
    <w:rsid w:val="00933A8F"/>
    <w:rsid w:val="0095380D"/>
    <w:rsid w:val="00A40E1D"/>
    <w:rsid w:val="00A4553D"/>
    <w:rsid w:val="00A946CE"/>
    <w:rsid w:val="00A95A8B"/>
    <w:rsid w:val="00AC0491"/>
    <w:rsid w:val="00B01E02"/>
    <w:rsid w:val="00B32D12"/>
    <w:rsid w:val="00CC37AB"/>
    <w:rsid w:val="00D26B5B"/>
    <w:rsid w:val="00D62499"/>
    <w:rsid w:val="00D748F2"/>
    <w:rsid w:val="00D879E4"/>
    <w:rsid w:val="00DC550B"/>
    <w:rsid w:val="00DC60FF"/>
    <w:rsid w:val="00DE179A"/>
    <w:rsid w:val="00DF6F67"/>
    <w:rsid w:val="00E3580B"/>
    <w:rsid w:val="00E854D2"/>
    <w:rsid w:val="00EA78B5"/>
    <w:rsid w:val="00EF7AA6"/>
    <w:rsid w:val="00FA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80B"/>
    <w:pPr>
      <w:spacing w:after="200" w:line="276" w:lineRule="auto"/>
    </w:pPr>
    <w:rPr>
      <w:rFonts w:ascii="Calibri" w:hAnsi="Calibri"/>
      <w:noProof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D748F2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eastAsia="ar-SA"/>
    </w:rPr>
  </w:style>
  <w:style w:type="paragraph" w:styleId="Cmsor2">
    <w:name w:val="heading 2"/>
    <w:basedOn w:val="Norml"/>
    <w:next w:val="Norml"/>
    <w:link w:val="Cmsor2Char"/>
    <w:uiPriority w:val="9"/>
    <w:qFormat/>
    <w:rsid w:val="00E3580B"/>
    <w:pPr>
      <w:keepNext/>
      <w:spacing w:before="240" w:after="60" w:line="240" w:lineRule="auto"/>
      <w:ind w:left="714" w:hanging="357"/>
      <w:jc w:val="both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48F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Listaszerbekezds">
    <w:name w:val="List Paragraph"/>
    <w:basedOn w:val="Norml"/>
    <w:uiPriority w:val="34"/>
    <w:qFormat/>
    <w:rsid w:val="00D748F2"/>
    <w:pPr>
      <w:suppressAutoHyphens/>
      <w:ind w:left="720"/>
    </w:pPr>
    <w:rPr>
      <w:rFonts w:cs="Calibri"/>
      <w:noProof w:val="0"/>
      <w:lang w:eastAsia="ar-SA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8F2"/>
    <w:pPr>
      <w:keepLines/>
      <w:suppressAutoHyphens w:val="0"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3580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24441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06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64A1F"/>
    <w:rPr>
      <w:rFonts w:ascii="Calibri" w:hAnsi="Calibri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64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4A1F"/>
    <w:rPr>
      <w:rFonts w:ascii="Calibri" w:hAnsi="Calibri"/>
      <w:noProof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DC60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1238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Oross Dániel</dc:creator>
  <cp:keywords/>
  <dc:description/>
  <cp:lastModifiedBy>Oross Dániel</cp:lastModifiedBy>
  <cp:revision>31</cp:revision>
  <dcterms:created xsi:type="dcterms:W3CDTF">2012-09-27T09:49:00Z</dcterms:created>
  <dcterms:modified xsi:type="dcterms:W3CDTF">2012-10-01T07:24:00Z</dcterms:modified>
</cp:coreProperties>
</file>