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68" w:rsidRPr="001E2D05" w:rsidRDefault="0058538A" w:rsidP="006E73DC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1E2D05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847068" w:rsidRPr="001E2D05">
        <w:rPr>
          <w:rFonts w:ascii="Times New Roman" w:hAnsi="Times New Roman" w:cs="Times New Roman"/>
          <w:sz w:val="28"/>
          <w:szCs w:val="28"/>
          <w:lang w:val="en-GB"/>
        </w:rPr>
        <w:t>chools of Democracy?</w:t>
      </w:r>
      <w:proofErr w:type="gramEnd"/>
    </w:p>
    <w:p w:rsidR="00847068" w:rsidRPr="001E2D05" w:rsidRDefault="006E73DC" w:rsidP="006E73DC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1E2D05">
        <w:rPr>
          <w:rFonts w:ascii="Times New Roman" w:hAnsi="Times New Roman" w:cs="Times New Roman"/>
          <w:sz w:val="28"/>
          <w:szCs w:val="28"/>
          <w:lang w:val="en-GB"/>
        </w:rPr>
        <w:t>Comparative analysis of local projects</w:t>
      </w:r>
      <w:r w:rsidR="004D5E8E">
        <w:rPr>
          <w:rFonts w:ascii="Times New Roman" w:hAnsi="Times New Roman" w:cs="Times New Roman"/>
          <w:sz w:val="28"/>
          <w:szCs w:val="28"/>
          <w:lang w:val="en-GB"/>
        </w:rPr>
        <w:t xml:space="preserve"> In Hungary</w:t>
      </w:r>
      <w:r w:rsidRPr="001E2D05">
        <w:rPr>
          <w:rFonts w:ascii="Times New Roman" w:hAnsi="Times New Roman" w:cs="Times New Roman"/>
          <w:sz w:val="28"/>
          <w:szCs w:val="28"/>
          <w:lang w:val="en-GB"/>
        </w:rPr>
        <w:t xml:space="preserve"> encouraging cooperation in the field of </w:t>
      </w:r>
      <w:r w:rsidR="004D5E8E">
        <w:rPr>
          <w:rFonts w:ascii="Times New Roman" w:hAnsi="Times New Roman" w:cs="Times New Roman"/>
          <w:sz w:val="28"/>
          <w:szCs w:val="28"/>
          <w:lang w:val="en-GB"/>
        </w:rPr>
        <w:t>poli</w:t>
      </w:r>
      <w:r w:rsidR="00F46F87">
        <w:rPr>
          <w:rFonts w:ascii="Times New Roman" w:hAnsi="Times New Roman" w:cs="Times New Roman"/>
          <w:sz w:val="28"/>
          <w:szCs w:val="28"/>
          <w:lang w:val="en-GB"/>
        </w:rPr>
        <w:t>tical participation of young pe</w:t>
      </w:r>
      <w:r w:rsidR="004D5E8E">
        <w:rPr>
          <w:rFonts w:ascii="Times New Roman" w:hAnsi="Times New Roman" w:cs="Times New Roman"/>
          <w:sz w:val="28"/>
          <w:szCs w:val="28"/>
          <w:lang w:val="en-GB"/>
        </w:rPr>
        <w:t>ople</w:t>
      </w:r>
    </w:p>
    <w:p w:rsidR="006E73DC" w:rsidRPr="00077DF9" w:rsidRDefault="006E73DC" w:rsidP="006E73DC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847068" w:rsidRPr="00201D80" w:rsidRDefault="00847068" w:rsidP="006E73DC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01D80">
        <w:rPr>
          <w:rFonts w:ascii="Times New Roman" w:hAnsi="Times New Roman" w:cs="Times New Roman"/>
          <w:b/>
          <w:sz w:val="24"/>
          <w:szCs w:val="24"/>
          <w:lang w:val="en-GB"/>
        </w:rPr>
        <w:t>Theoretical Framework</w:t>
      </w:r>
    </w:p>
    <w:p w:rsidR="00BE6FD9" w:rsidRPr="004D5E8E" w:rsidRDefault="00187302" w:rsidP="001E2D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D5E8E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CD5D1C" w:rsidRPr="004D5E8E">
        <w:rPr>
          <w:rFonts w:ascii="Times New Roman" w:hAnsi="Times New Roman" w:cs="Times New Roman"/>
          <w:sz w:val="24"/>
          <w:szCs w:val="24"/>
          <w:lang w:val="en-GB"/>
        </w:rPr>
        <w:t>ollowing the considerations of</w:t>
      </w:r>
      <w:r w:rsidR="00847068"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 John Stuart M</w:t>
      </w:r>
      <w:r w:rsidRPr="004D5E8E">
        <w:rPr>
          <w:rFonts w:ascii="Times New Roman" w:hAnsi="Times New Roman" w:cs="Times New Roman"/>
          <w:sz w:val="24"/>
          <w:szCs w:val="24"/>
          <w:lang w:val="en-GB"/>
        </w:rPr>
        <w:t>ill and Alexis de Tocqueville</w:t>
      </w:r>
      <w:r w:rsidR="00077DF9"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 my research deals with one of the key concepts of democracy political participation in local communities. </w:t>
      </w:r>
      <w:r w:rsidR="006B15C8" w:rsidRPr="004D5E8E">
        <w:rPr>
          <w:rFonts w:ascii="Times New Roman" w:hAnsi="Times New Roman" w:cs="Times New Roman"/>
          <w:sz w:val="24"/>
          <w:szCs w:val="24"/>
          <w:lang w:val="en-GB"/>
        </w:rPr>
        <w:t>From the approach of</w:t>
      </w:r>
      <w:r w:rsidR="00B21076"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 public policy</w:t>
      </w:r>
      <w:r w:rsidR="006B15C8"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714CD"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the study </w:t>
      </w:r>
      <w:r w:rsidR="00BE6FD9" w:rsidRPr="004D5E8E">
        <w:rPr>
          <w:rFonts w:ascii="Times New Roman" w:hAnsi="Times New Roman" w:cs="Times New Roman"/>
          <w:sz w:val="24"/>
          <w:szCs w:val="24"/>
          <w:lang w:val="en-GB"/>
        </w:rPr>
        <w:t>focus</w:t>
      </w:r>
      <w:r w:rsidR="00847068"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 on </w:t>
      </w:r>
      <w:r w:rsidR="002714CD"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local </w:t>
      </w:r>
      <w:r w:rsidR="00BE6FD9" w:rsidRPr="004D5E8E">
        <w:rPr>
          <w:rFonts w:ascii="Times New Roman" w:hAnsi="Times New Roman" w:cs="Times New Roman"/>
          <w:sz w:val="24"/>
          <w:szCs w:val="24"/>
          <w:lang w:val="en-GB"/>
        </w:rPr>
        <w:t>participatory structures aiming to encourage political participation of Hungarian young people aged between 15-29 years.</w:t>
      </w:r>
    </w:p>
    <w:p w:rsidR="006B15C8" w:rsidRPr="004D5E8E" w:rsidRDefault="009A0FCC" w:rsidP="001E2D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The concept of </w:t>
      </w:r>
      <w:r w:rsidR="006B15C8"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research is based on the </w:t>
      </w:r>
      <w:r w:rsidR="00867D99" w:rsidRPr="004D5E8E">
        <w:rPr>
          <w:rFonts w:ascii="Times New Roman" w:hAnsi="Times New Roman" w:cs="Times New Roman"/>
          <w:sz w:val="24"/>
          <w:szCs w:val="24"/>
          <w:lang w:val="en-GB"/>
        </w:rPr>
        <w:t>idea</w:t>
      </w:r>
      <w:r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 that young people's participation in democratic decision-making is largely determined by political institutions. </w:t>
      </w:r>
      <w:r w:rsidR="006B15C8" w:rsidRPr="004D5E8E">
        <w:rPr>
          <w:rFonts w:ascii="Times New Roman" w:hAnsi="Times New Roman" w:cs="Times New Roman"/>
          <w:sz w:val="24"/>
          <w:szCs w:val="24"/>
          <w:lang w:val="en-GB"/>
        </w:rPr>
        <w:t>In this respect Hungary is an interesting case because 22 years after the economic and democratic transition of the country still does not exist any i</w:t>
      </w:r>
      <w:r w:rsidR="00B21076" w:rsidRPr="004D5E8E">
        <w:rPr>
          <w:rFonts w:ascii="Times New Roman" w:hAnsi="Times New Roman" w:cs="Times New Roman"/>
          <w:sz w:val="24"/>
          <w:szCs w:val="24"/>
          <w:lang w:val="en-GB"/>
        </w:rPr>
        <w:t>nstitutional structure of the civic-</w:t>
      </w:r>
      <w:r w:rsidR="006B15C8" w:rsidRPr="004D5E8E">
        <w:rPr>
          <w:rFonts w:ascii="Times New Roman" w:hAnsi="Times New Roman" w:cs="Times New Roman"/>
          <w:sz w:val="24"/>
          <w:szCs w:val="24"/>
          <w:lang w:val="en-GB"/>
        </w:rPr>
        <w:t>governmental dialogue in youth affairs</w:t>
      </w:r>
      <w:r w:rsidR="004D5E8E">
        <w:rPr>
          <w:rFonts w:ascii="Times New Roman" w:hAnsi="Times New Roman" w:cs="Times New Roman"/>
          <w:sz w:val="24"/>
          <w:szCs w:val="24"/>
          <w:lang w:val="en-GB"/>
        </w:rPr>
        <w:t xml:space="preserve"> at national level</w:t>
      </w:r>
      <w:r w:rsidR="006B15C8"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, and the coordination of local and regional institutions is incidental. </w:t>
      </w:r>
      <w:r w:rsidR="00FF051D"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For any international research on the topic </w:t>
      </w:r>
      <w:r w:rsidR="006B15C8" w:rsidRPr="004D5E8E">
        <w:rPr>
          <w:rFonts w:ascii="Times New Roman" w:hAnsi="Times New Roman" w:cs="Times New Roman"/>
          <w:sz w:val="24"/>
          <w:szCs w:val="24"/>
          <w:lang w:val="en-GB"/>
        </w:rPr>
        <w:t>little reliable information is ava</w:t>
      </w:r>
      <w:r w:rsidR="00B21076" w:rsidRPr="004D5E8E">
        <w:rPr>
          <w:rFonts w:ascii="Times New Roman" w:hAnsi="Times New Roman" w:cs="Times New Roman"/>
          <w:sz w:val="24"/>
          <w:szCs w:val="24"/>
          <w:lang w:val="en-GB"/>
        </w:rPr>
        <w:t>ilable, so my</w:t>
      </w:r>
      <w:r w:rsidR="006B15C8"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 comparative research can provide important</w:t>
      </w:r>
      <w:r w:rsidR="00FF051D"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 new</w:t>
      </w:r>
      <w:r w:rsidR="006B15C8"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B15C8" w:rsidRPr="004D5E8E">
        <w:rPr>
          <w:rFonts w:ascii="Times New Roman" w:hAnsi="Times New Roman" w:cs="Times New Roman"/>
          <w:sz w:val="24"/>
          <w:szCs w:val="24"/>
          <w:lang w:val="en-GB"/>
        </w:rPr>
        <w:t>information</w:t>
      </w:r>
      <w:r w:rsidR="00FF051D" w:rsidRPr="004D5E8E">
        <w:rPr>
          <w:rFonts w:ascii="Times New Roman" w:hAnsi="Times New Roman" w:cs="Times New Roman"/>
          <w:sz w:val="24"/>
          <w:szCs w:val="24"/>
          <w:lang w:val="en-GB"/>
        </w:rPr>
        <w:t>s</w:t>
      </w:r>
      <w:proofErr w:type="spellEnd"/>
      <w:r w:rsidR="006B15C8" w:rsidRPr="004D5E8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045B7" w:rsidRPr="004D5E8E" w:rsidRDefault="00B21076" w:rsidP="001E2D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D5E8E">
        <w:rPr>
          <w:rFonts w:ascii="Times New Roman" w:hAnsi="Times New Roman" w:cs="Times New Roman"/>
          <w:sz w:val="24"/>
          <w:szCs w:val="24"/>
          <w:lang w:val="en-GB"/>
        </w:rPr>
        <w:t>Concerning youth’s political representation t</w:t>
      </w:r>
      <w:r w:rsidR="00F045B7" w:rsidRPr="004D5E8E">
        <w:rPr>
          <w:rFonts w:ascii="Times New Roman" w:hAnsi="Times New Roman" w:cs="Times New Roman"/>
          <w:sz w:val="24"/>
          <w:szCs w:val="24"/>
          <w:lang w:val="en-GB"/>
        </w:rPr>
        <w:t>here is a clear territorial division among the ’old’ and ’new’ memb</w:t>
      </w:r>
      <w:r w:rsidRPr="004D5E8E">
        <w:rPr>
          <w:rFonts w:ascii="Times New Roman" w:hAnsi="Times New Roman" w:cs="Times New Roman"/>
          <w:sz w:val="24"/>
          <w:szCs w:val="24"/>
          <w:lang w:val="en-GB"/>
        </w:rPr>
        <w:t>er states of the European Union</w:t>
      </w:r>
      <w:r w:rsidR="00B415DF"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. In </w:t>
      </w:r>
      <w:r w:rsidR="002121C0" w:rsidRPr="004D5E8E">
        <w:rPr>
          <w:rFonts w:ascii="Times New Roman" w:hAnsi="Times New Roman" w:cs="Times New Roman"/>
          <w:sz w:val="24"/>
          <w:szCs w:val="24"/>
          <w:lang w:val="en-GB"/>
        </w:rPr>
        <w:t>’old’</w:t>
      </w:r>
      <w:r w:rsidR="00B415DF"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 member states </w:t>
      </w:r>
      <w:r w:rsidR="00F045B7" w:rsidRPr="004D5E8E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F045B7" w:rsidRPr="004D5E8E">
        <w:rPr>
          <w:rFonts w:ascii="Times New Roman" w:eastAsia="Meta-Normal--Identity-H" w:hAnsi="Times New Roman" w:cs="Times New Roman"/>
          <w:color w:val="111111"/>
          <w:sz w:val="24"/>
          <w:szCs w:val="24"/>
          <w:lang w:val="en-GB"/>
        </w:rPr>
        <w:t>renas for youth involvement in political life are numerous. Low participation level of young people in these countries brings evidence that</w:t>
      </w:r>
      <w:r w:rsidR="00F045B7"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045B7" w:rsidRPr="004D5E8E">
        <w:rPr>
          <w:rFonts w:ascii="Times New Roman" w:eastAsia="Meta-Normal--Identity-H" w:hAnsi="Times New Roman" w:cs="Times New Roman"/>
          <w:color w:val="111111"/>
          <w:sz w:val="24"/>
          <w:szCs w:val="24"/>
          <w:lang w:val="en-GB" w:eastAsia="hu-HU"/>
        </w:rPr>
        <w:t>institutionalisation has a strong tendency to limit participation, and it seems to be this weakening social anchoring that, over time, affected the legitimacy of democratic institutions (</w:t>
      </w:r>
      <w:proofErr w:type="spellStart"/>
      <w:r w:rsidR="00F045B7" w:rsidRPr="004D5E8E">
        <w:rPr>
          <w:rFonts w:ascii="Times New Roman" w:eastAsia="Meta-Normal--Identity-H" w:hAnsi="Times New Roman" w:cs="Times New Roman"/>
          <w:smallCaps/>
          <w:color w:val="111111"/>
          <w:sz w:val="24"/>
          <w:szCs w:val="24"/>
          <w:lang w:val="en-GB" w:eastAsia="hu-HU"/>
        </w:rPr>
        <w:t>Forbrig</w:t>
      </w:r>
      <w:proofErr w:type="spellEnd"/>
      <w:r w:rsidR="00F045B7" w:rsidRPr="004D5E8E">
        <w:rPr>
          <w:rFonts w:ascii="Times New Roman" w:eastAsia="Meta-Normal--Identity-H" w:hAnsi="Times New Roman" w:cs="Times New Roman"/>
          <w:smallCaps/>
          <w:color w:val="111111"/>
          <w:sz w:val="24"/>
          <w:szCs w:val="24"/>
          <w:lang w:val="en-GB" w:eastAsia="hu-HU"/>
        </w:rPr>
        <w:t>,</w:t>
      </w:r>
      <w:r w:rsidR="00F045B7" w:rsidRPr="004D5E8E">
        <w:rPr>
          <w:rFonts w:ascii="Times New Roman" w:eastAsia="Meta-Normal--Identity-H" w:hAnsi="Times New Roman" w:cs="Times New Roman"/>
          <w:color w:val="111111"/>
          <w:sz w:val="24"/>
          <w:szCs w:val="24"/>
          <w:lang w:val="en-GB" w:eastAsia="hu-HU"/>
        </w:rPr>
        <w:t xml:space="preserve"> 2005:13). Therefore the main concern in these countries is to expand the institutional realm and to ameliorate </w:t>
      </w:r>
      <w:r w:rsidR="00F045B7" w:rsidRPr="004D5E8E">
        <w:rPr>
          <w:rFonts w:ascii="Times New Roman" w:eastAsia="Meta-Normal--Identity-H" w:hAnsi="Times New Roman" w:cs="Times New Roman"/>
          <w:color w:val="111111"/>
          <w:sz w:val="24"/>
          <w:szCs w:val="24"/>
          <w:lang w:val="en-GB"/>
        </w:rPr>
        <w:t xml:space="preserve">connection between political institutions and their social environment. </w:t>
      </w:r>
      <w:r w:rsidR="00B415DF" w:rsidRPr="004D5E8E">
        <w:rPr>
          <w:rFonts w:ascii="Times New Roman" w:eastAsia="Meta-Normal--Identity-H" w:hAnsi="Times New Roman" w:cs="Times New Roman"/>
          <w:color w:val="111111"/>
          <w:sz w:val="24"/>
          <w:szCs w:val="24"/>
          <w:lang w:val="en-GB"/>
        </w:rPr>
        <w:t xml:space="preserve">In </w:t>
      </w:r>
      <w:r w:rsidR="00B415DF" w:rsidRPr="004D5E8E">
        <w:rPr>
          <w:rFonts w:ascii="Times New Roman" w:hAnsi="Times New Roman" w:cs="Times New Roman"/>
          <w:sz w:val="24"/>
          <w:szCs w:val="24"/>
          <w:lang w:val="en-GB"/>
        </w:rPr>
        <w:t>’new’ member states t</w:t>
      </w:r>
      <w:r w:rsidR="00F045B7" w:rsidRPr="004D5E8E">
        <w:rPr>
          <w:rFonts w:ascii="Times New Roman" w:eastAsia="Meta-Normal--Identity-H" w:hAnsi="Times New Roman" w:cs="Times New Roman"/>
          <w:color w:val="111111"/>
          <w:sz w:val="24"/>
          <w:szCs w:val="24"/>
          <w:lang w:val="en-GB"/>
        </w:rPr>
        <w:t>he economic and democratic transition</w:t>
      </w:r>
      <w:r w:rsidRPr="004D5E8E">
        <w:rPr>
          <w:rFonts w:ascii="Times New Roman" w:eastAsia="Meta-Normal--Identity-H" w:hAnsi="Times New Roman" w:cs="Times New Roman"/>
          <w:color w:val="111111"/>
          <w:sz w:val="24"/>
          <w:szCs w:val="24"/>
          <w:lang w:val="en-GB"/>
        </w:rPr>
        <w:t xml:space="preserve"> has abolished</w:t>
      </w:r>
      <w:r w:rsidR="00F045B7" w:rsidRPr="004D5E8E">
        <w:rPr>
          <w:rFonts w:ascii="Times New Roman" w:eastAsia="Meta-Normal--Identity-H" w:hAnsi="Times New Roman" w:cs="Times New Roman"/>
          <w:color w:val="111111"/>
          <w:sz w:val="24"/>
          <w:szCs w:val="24"/>
          <w:lang w:val="en-GB"/>
        </w:rPr>
        <w:t xml:space="preserve"> </w:t>
      </w:r>
      <w:r w:rsidRPr="004D5E8E">
        <w:rPr>
          <w:rFonts w:ascii="Times New Roman" w:eastAsia="Meta-Normal--Identity-H" w:hAnsi="Times New Roman" w:cs="Times New Roman"/>
          <w:color w:val="111111"/>
          <w:sz w:val="24"/>
          <w:szCs w:val="24"/>
          <w:lang w:val="en-GB"/>
        </w:rPr>
        <w:t>former structures of the youth sector.</w:t>
      </w:r>
      <w:r w:rsidR="00F045B7" w:rsidRPr="004D5E8E">
        <w:rPr>
          <w:rFonts w:ascii="Times New Roman" w:eastAsia="Meta-Normal--Identity-H" w:hAnsi="Times New Roman" w:cs="Times New Roman"/>
          <w:color w:val="111111"/>
          <w:sz w:val="24"/>
          <w:szCs w:val="24"/>
          <w:lang w:val="en-GB"/>
        </w:rPr>
        <w:t xml:space="preserve"> </w:t>
      </w:r>
      <w:r w:rsidR="00F045B7" w:rsidRPr="004D5E8E">
        <w:rPr>
          <w:rFonts w:ascii="Times New Roman" w:hAnsi="Times New Roman" w:cs="Times New Roman"/>
          <w:sz w:val="24"/>
          <w:szCs w:val="24"/>
          <w:lang w:val="en-GB"/>
        </w:rPr>
        <w:t>In these regions the main question is not how to expand the former institutional realm but how to establish adequate structures for youth involvement.</w:t>
      </w:r>
      <w:r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4D5E8E">
        <w:rPr>
          <w:rFonts w:ascii="Times New Roman" w:hAnsi="Times New Roman" w:cs="Times New Roman"/>
          <w:smallCaps/>
          <w:sz w:val="24"/>
          <w:szCs w:val="24"/>
          <w:lang w:val="en-GB"/>
        </w:rPr>
        <w:t>Kovaceva</w:t>
      </w:r>
      <w:proofErr w:type="spellEnd"/>
      <w:r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 2000: 74).</w:t>
      </w:r>
    </w:p>
    <w:p w:rsidR="00847068" w:rsidRPr="004D5E8E" w:rsidRDefault="001E2D05" w:rsidP="001E2D0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D5E8E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2121C0" w:rsidRPr="004D5E8E">
        <w:rPr>
          <w:rFonts w:ascii="Times New Roman" w:hAnsi="Times New Roman" w:cs="Times New Roman"/>
          <w:sz w:val="24"/>
          <w:szCs w:val="24"/>
          <w:lang w:val="en-GB"/>
        </w:rPr>
        <w:t>ncourag</w:t>
      </w:r>
      <w:r w:rsidRPr="004D5E8E">
        <w:rPr>
          <w:rFonts w:ascii="Times New Roman" w:hAnsi="Times New Roman" w:cs="Times New Roman"/>
          <w:sz w:val="24"/>
          <w:szCs w:val="24"/>
          <w:lang w:val="en-GB"/>
        </w:rPr>
        <w:t>ement</w:t>
      </w:r>
      <w:r w:rsidR="002121C0"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 of young people</w:t>
      </w:r>
      <w:r w:rsidRPr="004D5E8E">
        <w:rPr>
          <w:rFonts w:ascii="Times New Roman" w:hAnsi="Times New Roman" w:cs="Times New Roman"/>
          <w:sz w:val="24"/>
          <w:szCs w:val="24"/>
          <w:lang w:val="en-GB"/>
        </w:rPr>
        <w:t>’s participation</w:t>
      </w:r>
      <w:r w:rsidR="002121C0"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 is a permanent objective of the youth policy of the European Union. </w:t>
      </w:r>
      <w:r w:rsidR="00201D80" w:rsidRPr="004D5E8E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847068" w:rsidRPr="004D5E8E">
        <w:rPr>
          <w:rFonts w:ascii="Times New Roman" w:hAnsi="Times New Roman" w:cs="Times New Roman"/>
          <w:sz w:val="24"/>
          <w:szCs w:val="24"/>
          <w:lang w:val="en-GB"/>
        </w:rPr>
        <w:t>outh policy related</w:t>
      </w:r>
      <w:r w:rsidR="00201D80"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 international researches of The Council of Europe stress the importance of</w:t>
      </w:r>
      <w:r w:rsidR="00847068"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 understand</w:t>
      </w:r>
      <w:r w:rsidR="00201D80" w:rsidRPr="004D5E8E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847068"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 the new forms of political participation. </w:t>
      </w:r>
      <w:r w:rsidR="00DB4D26" w:rsidRPr="004D5E8E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201D80" w:rsidRPr="004D5E8E">
        <w:rPr>
          <w:rFonts w:ascii="Times New Roman" w:eastAsiaTheme="minorHAnsi" w:hAnsi="Times New Roman" w:cs="Times New Roman"/>
          <w:sz w:val="24"/>
          <w:szCs w:val="24"/>
          <w:lang w:val="en-GB"/>
        </w:rPr>
        <w:t>esearchers agree that the idea of “citizenship” and “community” are integrally connected</w:t>
      </w:r>
      <w:r w:rsidR="00F440B7" w:rsidRPr="004D5E8E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r w:rsidR="00DB4D26" w:rsidRPr="004D5E8E">
        <w:rPr>
          <w:rFonts w:ascii="Times New Roman" w:eastAsiaTheme="minorHAnsi" w:hAnsi="Times New Roman" w:cs="Times New Roman"/>
          <w:color w:val="231F20"/>
          <w:sz w:val="24"/>
          <w:szCs w:val="24"/>
          <w:lang w:val="en-GB"/>
        </w:rPr>
        <w:t>(</w:t>
      </w:r>
      <w:r w:rsidR="00DB4D26" w:rsidRPr="004D5E8E">
        <w:rPr>
          <w:rFonts w:ascii="Times New Roman" w:eastAsiaTheme="minorHAnsi" w:hAnsi="Times New Roman" w:cs="Times New Roman"/>
          <w:smallCaps/>
          <w:color w:val="231F20"/>
          <w:sz w:val="24"/>
          <w:szCs w:val="24"/>
          <w:lang w:val="en-GB"/>
        </w:rPr>
        <w:t>Williamson</w:t>
      </w:r>
      <w:r w:rsidR="00DB4D26" w:rsidRPr="004D5E8E">
        <w:rPr>
          <w:rFonts w:ascii="Times New Roman" w:eastAsiaTheme="minorHAnsi" w:hAnsi="Times New Roman" w:cs="Times New Roman"/>
          <w:color w:val="231F20"/>
          <w:sz w:val="24"/>
          <w:szCs w:val="24"/>
          <w:lang w:val="en-GB"/>
        </w:rPr>
        <w:t xml:space="preserve"> 2002:42) so in order t</w:t>
      </w:r>
      <w:r w:rsidR="00201D80" w:rsidRPr="004D5E8E">
        <w:rPr>
          <w:rFonts w:ascii="Times New Roman" w:eastAsiaTheme="minorHAnsi" w:hAnsi="Times New Roman" w:cs="Times New Roman"/>
          <w:sz w:val="24"/>
          <w:szCs w:val="24"/>
          <w:lang w:val="en-GB"/>
        </w:rPr>
        <w:t>o develop democratic</w:t>
      </w:r>
      <w:r w:rsidR="00DB4D26" w:rsidRPr="004D5E8E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processes </w:t>
      </w:r>
      <w:r w:rsidR="00867D99" w:rsidRPr="004D5E8E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policies </w:t>
      </w:r>
      <w:r w:rsidR="00DB4D26" w:rsidRPr="004D5E8E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have to </w:t>
      </w:r>
      <w:r w:rsidR="00867D99" w:rsidRPr="004D5E8E">
        <w:rPr>
          <w:rFonts w:ascii="Times New Roman" w:eastAsiaTheme="minorHAnsi" w:hAnsi="Times New Roman" w:cs="Times New Roman"/>
          <w:sz w:val="24"/>
          <w:szCs w:val="24"/>
          <w:lang w:val="en-GB"/>
        </w:rPr>
        <w:t>focus on</w:t>
      </w:r>
      <w:r w:rsidR="00DB4D26" w:rsidRPr="004D5E8E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r w:rsidR="00201D80" w:rsidRPr="004D5E8E">
        <w:rPr>
          <w:rFonts w:ascii="Times New Roman" w:eastAsiaTheme="minorHAnsi" w:hAnsi="Times New Roman" w:cs="Times New Roman"/>
          <w:sz w:val="24"/>
          <w:szCs w:val="24"/>
          <w:lang w:val="en-GB"/>
        </w:rPr>
        <w:t>local level</w:t>
      </w:r>
      <w:r w:rsidR="00DB4D26" w:rsidRPr="004D5E8E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. </w:t>
      </w:r>
      <w:r w:rsidR="00DB4D26" w:rsidRPr="004D5E8E">
        <w:rPr>
          <w:rFonts w:ascii="Times New Roman" w:eastAsia="Meta-Normal--Identity-H" w:hAnsi="Times New Roman" w:cs="Times New Roman"/>
          <w:sz w:val="24"/>
          <w:szCs w:val="24"/>
          <w:lang w:eastAsia="hu-HU"/>
        </w:rPr>
        <w:t xml:space="preserve">The </w:t>
      </w:r>
      <w:r w:rsidR="00DB4D26"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Open Coordination Method of the EU is based on cooperation among member </w:t>
      </w:r>
      <w:r w:rsidR="00DB4D26" w:rsidRPr="004D5E8E">
        <w:rPr>
          <w:rFonts w:ascii="Times New Roman" w:hAnsi="Times New Roman" w:cs="Times New Roman"/>
          <w:sz w:val="24"/>
          <w:szCs w:val="24"/>
          <w:lang w:val="en-GB"/>
        </w:rPr>
        <w:lastRenderedPageBreak/>
        <w:t>states facilitated by EU institutions. In this frame several project</w:t>
      </w:r>
      <w:r w:rsidR="00F440B7" w:rsidRPr="004D5E8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DB4D26"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 have been launched in order to stimulate youth participation (</w:t>
      </w:r>
      <w:proofErr w:type="spellStart"/>
      <w:r w:rsidR="00DB4D26" w:rsidRPr="004D5E8E">
        <w:rPr>
          <w:rFonts w:ascii="Times New Roman" w:hAnsi="Times New Roman" w:cs="Times New Roman"/>
          <w:smallCaps/>
          <w:sz w:val="24"/>
          <w:szCs w:val="24"/>
          <w:lang w:val="en-GB"/>
        </w:rPr>
        <w:t>denstad</w:t>
      </w:r>
      <w:proofErr w:type="spellEnd"/>
      <w:r w:rsidR="00DB4D26" w:rsidRPr="004D5E8E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 2009:32). </w:t>
      </w:r>
      <w:r w:rsidR="00362459" w:rsidRPr="004D5E8E">
        <w:rPr>
          <w:rFonts w:ascii="Times New Roman" w:hAnsi="Times New Roman" w:cs="Times New Roman"/>
          <w:smallCaps/>
          <w:sz w:val="24"/>
          <w:szCs w:val="24"/>
          <w:lang w:val="en-GB"/>
        </w:rPr>
        <w:t>R</w:t>
      </w:r>
      <w:r w:rsidR="00DB4D26"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esults of these projects are different in </w:t>
      </w:r>
      <w:r w:rsidR="00362459" w:rsidRPr="004D5E8E">
        <w:rPr>
          <w:rFonts w:ascii="Times New Roman" w:hAnsi="Times New Roman" w:cs="Times New Roman"/>
          <w:sz w:val="24"/>
          <w:szCs w:val="24"/>
          <w:lang w:val="en-GB"/>
        </w:rPr>
        <w:t>the Member States</w:t>
      </w:r>
      <w:r w:rsidR="00847068" w:rsidRPr="004D5E8E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440B7"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62459" w:rsidRPr="004D5E8E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F440B7" w:rsidRPr="004D5E8E">
        <w:rPr>
          <w:rFonts w:ascii="Times New Roman" w:hAnsi="Times New Roman" w:cs="Times New Roman"/>
          <w:sz w:val="24"/>
          <w:szCs w:val="24"/>
          <w:lang w:val="en-GB"/>
        </w:rPr>
        <w:t>he</w:t>
      </w:r>
      <w:r w:rsidR="00963AF5"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 research evaluates</w:t>
      </w:r>
      <w:r w:rsidR="00F440B7"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 means of application in the field of promo</w:t>
      </w:r>
      <w:r w:rsidR="004D5E8E">
        <w:rPr>
          <w:rFonts w:ascii="Times New Roman" w:hAnsi="Times New Roman" w:cs="Times New Roman"/>
          <w:sz w:val="24"/>
          <w:szCs w:val="24"/>
          <w:lang w:val="en-GB"/>
        </w:rPr>
        <w:t>ting participation. Following</w:t>
      </w:r>
      <w:r w:rsidR="00362459"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 five approaches of Europeanization defined by Olsen (2002: 923-924)</w:t>
      </w:r>
      <w:r w:rsidR="004D5E8E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362459"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 research includes policy analysis of polymerization of European multi-level governance that occur at lower levels of institutional structures, and policies.</w:t>
      </w:r>
      <w:r w:rsidR="00847068"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440B7" w:rsidRPr="004D5E8E">
        <w:rPr>
          <w:rFonts w:ascii="Times New Roman" w:hAnsi="Times New Roman" w:cs="Times New Roman"/>
          <w:sz w:val="24"/>
          <w:szCs w:val="24"/>
          <w:lang w:val="en-GB"/>
        </w:rPr>
        <w:t>Due to t</w:t>
      </w:r>
      <w:r w:rsidR="00362459"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="00847068" w:rsidRPr="004D5E8E">
        <w:rPr>
          <w:rFonts w:ascii="Times New Roman" w:hAnsi="Times New Roman" w:cs="Times New Roman"/>
          <w:sz w:val="24"/>
          <w:szCs w:val="24"/>
          <w:lang w:val="en-GB"/>
        </w:rPr>
        <w:t>po</w:t>
      </w:r>
      <w:r w:rsidR="00362459"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liticized transposition practice of </w:t>
      </w:r>
      <w:r w:rsidR="00963AF5" w:rsidRPr="004D5E8E">
        <w:rPr>
          <w:rFonts w:ascii="Times New Roman" w:hAnsi="Times New Roman" w:cs="Times New Roman"/>
          <w:sz w:val="24"/>
          <w:szCs w:val="24"/>
          <w:lang w:val="en-GB"/>
        </w:rPr>
        <w:t>Central and Eastern EU m</w:t>
      </w:r>
      <w:r w:rsidR="00362459" w:rsidRPr="004D5E8E">
        <w:rPr>
          <w:rFonts w:ascii="Times New Roman" w:hAnsi="Times New Roman" w:cs="Times New Roman"/>
          <w:sz w:val="24"/>
          <w:szCs w:val="24"/>
          <w:lang w:val="en-GB"/>
        </w:rPr>
        <w:t>ember states</w:t>
      </w:r>
      <w:r w:rsidR="00963AF5"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47068" w:rsidRPr="004D5E8E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F440B7"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re are </w:t>
      </w:r>
      <w:r w:rsidR="00847068" w:rsidRPr="004D5E8E">
        <w:rPr>
          <w:rFonts w:ascii="Times New Roman" w:hAnsi="Times New Roman" w:cs="Times New Roman"/>
          <w:sz w:val="24"/>
          <w:szCs w:val="24"/>
          <w:lang w:val="en-GB"/>
        </w:rPr>
        <w:t>systemic failures</w:t>
      </w:r>
      <w:r w:rsidR="00F440B7"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 of application and enforceability. R</w:t>
      </w:r>
      <w:r w:rsidR="00847068"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esearch investigating </w:t>
      </w:r>
      <w:r w:rsidR="00F440B7"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the question how </w:t>
      </w:r>
      <w:r w:rsidR="00847068" w:rsidRPr="004D5E8E">
        <w:rPr>
          <w:rFonts w:ascii="Times New Roman" w:hAnsi="Times New Roman" w:cs="Times New Roman"/>
          <w:sz w:val="24"/>
          <w:szCs w:val="24"/>
          <w:lang w:val="en-GB"/>
        </w:rPr>
        <w:t>EU legislation is</w:t>
      </w:r>
      <w:r w:rsidR="00F440B7"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 put into practice in the region (</w:t>
      </w:r>
      <w:r w:rsidR="00F440B7" w:rsidRPr="004D5E8E">
        <w:rPr>
          <w:rFonts w:ascii="Times New Roman" w:hAnsi="Times New Roman" w:cs="Times New Roman"/>
          <w:smallCaps/>
          <w:sz w:val="24"/>
          <w:szCs w:val="24"/>
          <w:lang w:val="en-GB"/>
        </w:rPr>
        <w:t>Falkner</w:t>
      </w:r>
      <w:r w:rsidR="00DC08C5" w:rsidRPr="004D5E8E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- </w:t>
      </w:r>
      <w:proofErr w:type="spellStart"/>
      <w:r w:rsidR="00DC08C5" w:rsidRPr="004D5E8E">
        <w:rPr>
          <w:rFonts w:ascii="Times New Roman" w:hAnsi="Times New Roman" w:cs="Times New Roman"/>
          <w:smallCaps/>
          <w:sz w:val="24"/>
          <w:szCs w:val="24"/>
          <w:lang w:val="en-GB"/>
        </w:rPr>
        <w:t>treib</w:t>
      </w:r>
      <w:proofErr w:type="spellEnd"/>
      <w:r w:rsidR="00DC08C5" w:rsidRPr="004D5E8E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 </w:t>
      </w:r>
      <w:r w:rsidR="00DC08C5" w:rsidRPr="004D5E8E">
        <w:rPr>
          <w:rFonts w:ascii="Times New Roman" w:hAnsi="Times New Roman" w:cs="Times New Roman"/>
          <w:sz w:val="24"/>
          <w:szCs w:val="24"/>
          <w:lang w:val="en-GB"/>
        </w:rPr>
        <w:t>2007</w:t>
      </w:r>
      <w:r w:rsidR="00F440B7" w:rsidRPr="004D5E8E">
        <w:rPr>
          <w:rFonts w:ascii="Times New Roman" w:hAnsi="Times New Roman" w:cs="Times New Roman"/>
          <w:sz w:val="24"/>
          <w:szCs w:val="24"/>
          <w:lang w:val="en-GB"/>
        </w:rPr>
        <w:t>) entitled the practice of these countries as the "worlds of dead letters" implying that</w:t>
      </w:r>
      <w:r w:rsidR="00DC08C5"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 most</w:t>
      </w:r>
      <w:r w:rsidR="00F440B7"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 formal decisions remain on </w:t>
      </w:r>
      <w:r w:rsidR="00847068" w:rsidRPr="004D5E8E">
        <w:rPr>
          <w:rFonts w:ascii="Times New Roman" w:hAnsi="Times New Roman" w:cs="Times New Roman"/>
          <w:sz w:val="24"/>
          <w:szCs w:val="24"/>
          <w:lang w:val="en-GB"/>
        </w:rPr>
        <w:t>the paper.</w:t>
      </w:r>
    </w:p>
    <w:p w:rsidR="00847068" w:rsidRPr="004D5E8E" w:rsidRDefault="009C61F5" w:rsidP="00963AF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D5E8E">
        <w:rPr>
          <w:rStyle w:val="hps"/>
          <w:rFonts w:ascii="Times New Roman" w:hAnsi="Times New Roman" w:cs="Times New Roman"/>
          <w:sz w:val="24"/>
          <w:szCs w:val="24"/>
          <w:lang w:val="en-GB"/>
        </w:rPr>
        <w:t>The main objective</w:t>
      </w:r>
      <w:r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B0E53">
        <w:rPr>
          <w:rStyle w:val="hps"/>
          <w:rFonts w:ascii="Times New Roman" w:hAnsi="Times New Roman" w:cs="Times New Roman"/>
          <w:sz w:val="24"/>
          <w:szCs w:val="24"/>
          <w:lang w:val="en-GB"/>
        </w:rPr>
        <w:t>of the research</w:t>
      </w:r>
      <w:r w:rsidRPr="004D5E8E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is to investigate </w:t>
      </w:r>
      <w:r w:rsidR="00963AF5" w:rsidRPr="004D5E8E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how </w:t>
      </w:r>
      <w:r w:rsidRPr="004D5E8E">
        <w:rPr>
          <w:rStyle w:val="hps"/>
          <w:rFonts w:ascii="Times New Roman" w:hAnsi="Times New Roman" w:cs="Times New Roman"/>
          <w:sz w:val="24"/>
          <w:szCs w:val="24"/>
          <w:lang w:val="en-GB"/>
        </w:rPr>
        <w:t>t</w:t>
      </w:r>
      <w:r w:rsidRPr="004D5E8E">
        <w:rPr>
          <w:rFonts w:ascii="Times New Roman" w:hAnsi="Times New Roman" w:cs="Times New Roman"/>
          <w:sz w:val="24"/>
          <w:szCs w:val="24"/>
          <w:lang w:val="en-GB"/>
        </w:rPr>
        <w:t>he common European youth policy</w:t>
      </w:r>
      <w:r w:rsidR="00963AF5"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 objective</w:t>
      </w:r>
      <w:r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Pr="004D5E8E">
        <w:rPr>
          <w:rStyle w:val="hps"/>
          <w:rFonts w:ascii="Times New Roman" w:hAnsi="Times New Roman" w:cs="Times New Roman"/>
          <w:sz w:val="24"/>
          <w:szCs w:val="24"/>
          <w:lang w:val="en-GB"/>
        </w:rPr>
        <w:t>designing political institutions that enable young people unleash</w:t>
      </w:r>
      <w:r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D5E8E">
        <w:rPr>
          <w:rStyle w:val="hps"/>
          <w:rFonts w:ascii="Times New Roman" w:hAnsi="Times New Roman" w:cs="Times New Roman"/>
          <w:sz w:val="24"/>
          <w:szCs w:val="24"/>
          <w:lang w:val="en-GB"/>
        </w:rPr>
        <w:t>their creativity</w:t>
      </w:r>
      <w:r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 and participate in democracy is put into practice at local level in Hungary. </w:t>
      </w:r>
      <w:r w:rsidR="00963AF5" w:rsidRPr="004D5E8E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4D5E8E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he research aims to </w:t>
      </w:r>
      <w:proofErr w:type="spellStart"/>
      <w:r w:rsidRPr="004D5E8E">
        <w:rPr>
          <w:rFonts w:ascii="Times New Roman" w:hAnsi="Times New Roman" w:cs="Times New Roman"/>
          <w:sz w:val="24"/>
          <w:szCs w:val="24"/>
          <w:lang w:val="en-GB" w:eastAsia="hu-HU"/>
        </w:rPr>
        <w:t>to</w:t>
      </w:r>
      <w:proofErr w:type="spellEnd"/>
      <w:r w:rsidRPr="004D5E8E">
        <w:rPr>
          <w:rFonts w:ascii="Times New Roman" w:hAnsi="Times New Roman" w:cs="Times New Roman"/>
          <w:sz w:val="24"/>
          <w:szCs w:val="24"/>
          <w:lang w:val="en-GB" w:eastAsia="hu-HU"/>
        </w:rPr>
        <w:t xml:space="preserve"> capture how </w:t>
      </w:r>
      <w:proofErr w:type="spellStart"/>
      <w:r w:rsidRPr="004D5E8E">
        <w:rPr>
          <w:rFonts w:ascii="Times New Roman" w:hAnsi="Times New Roman" w:cs="Times New Roman"/>
          <w:sz w:val="24"/>
          <w:szCs w:val="24"/>
          <w:lang w:val="en-GB" w:eastAsia="hu-HU"/>
        </w:rPr>
        <w:t>europeanization</w:t>
      </w:r>
      <w:proofErr w:type="spellEnd"/>
      <w:r w:rsidRPr="004D5E8E">
        <w:rPr>
          <w:rFonts w:ascii="Times New Roman" w:hAnsi="Times New Roman" w:cs="Times New Roman"/>
          <w:sz w:val="24"/>
          <w:szCs w:val="24"/>
          <w:lang w:val="en-GB" w:eastAsia="hu-HU"/>
        </w:rPr>
        <w:t xml:space="preserve"> </w:t>
      </w:r>
      <w:proofErr w:type="gramStart"/>
      <w:r w:rsidRPr="004D5E8E">
        <w:rPr>
          <w:rFonts w:ascii="Times New Roman" w:hAnsi="Times New Roman" w:cs="Times New Roman"/>
          <w:sz w:val="24"/>
          <w:szCs w:val="24"/>
          <w:lang w:val="en-GB" w:eastAsia="hu-HU"/>
        </w:rPr>
        <w:t>effected</w:t>
      </w:r>
      <w:proofErr w:type="gramEnd"/>
      <w:r w:rsidRPr="004D5E8E">
        <w:rPr>
          <w:rFonts w:ascii="Times New Roman" w:hAnsi="Times New Roman" w:cs="Times New Roman"/>
          <w:sz w:val="24"/>
          <w:szCs w:val="24"/>
          <w:lang w:val="en-GB" w:eastAsia="hu-HU"/>
        </w:rPr>
        <w:t xml:space="preserve"> </w:t>
      </w:r>
      <w:r w:rsidRPr="004D5E8E">
        <w:rPr>
          <w:rFonts w:ascii="Times New Roman" w:hAnsi="Times New Roman" w:cs="Times New Roman"/>
          <w:sz w:val="24"/>
          <w:szCs w:val="24"/>
          <w:lang w:val="en-GB"/>
        </w:rPr>
        <w:t>structures for young people’s active participation</w:t>
      </w:r>
      <w:r w:rsidRPr="004D5E8E">
        <w:rPr>
          <w:rFonts w:ascii="Times New Roman" w:hAnsi="Times New Roman" w:cs="Times New Roman"/>
          <w:sz w:val="24"/>
          <w:szCs w:val="24"/>
          <w:lang w:val="en-GB" w:eastAsia="hu-HU"/>
        </w:rPr>
        <w:t xml:space="preserve"> in Hungary </w:t>
      </w:r>
      <w:r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in the </w:t>
      </w:r>
      <w:r w:rsidRPr="004D5E8E">
        <w:rPr>
          <w:rStyle w:val="Kiemels"/>
          <w:rFonts w:ascii="Times New Roman" w:hAnsi="Times New Roman" w:cs="Times New Roman"/>
          <w:b w:val="0"/>
          <w:sz w:val="24"/>
          <w:szCs w:val="24"/>
          <w:lang w:val="en-GB"/>
        </w:rPr>
        <w:t>South</w:t>
      </w:r>
      <w:r w:rsidRPr="004D5E8E">
        <w:rPr>
          <w:rStyle w:val="st"/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4D5E8E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Great </w:t>
      </w:r>
      <w:r w:rsidRPr="004D5E8E">
        <w:rPr>
          <w:rStyle w:val="Kiemels"/>
          <w:rFonts w:ascii="Times New Roman" w:hAnsi="Times New Roman" w:cs="Times New Roman"/>
          <w:b w:val="0"/>
          <w:sz w:val="24"/>
          <w:szCs w:val="24"/>
          <w:lang w:val="en-GB"/>
        </w:rPr>
        <w:t>Hungarian Plain Region</w:t>
      </w:r>
      <w:r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D5E8E">
        <w:rPr>
          <w:rFonts w:ascii="Times New Roman" w:hAnsi="Times New Roman" w:cs="Times New Roman"/>
          <w:sz w:val="24"/>
          <w:szCs w:val="24"/>
          <w:lang w:val="en-GB" w:eastAsia="hu-HU"/>
        </w:rPr>
        <w:t>at regional and local level.</w:t>
      </w:r>
      <w:r w:rsidR="00C52EB6" w:rsidRPr="004D5E8E">
        <w:rPr>
          <w:rFonts w:ascii="Times New Roman" w:hAnsi="Times New Roman" w:cs="Times New Roman"/>
          <w:sz w:val="24"/>
          <w:szCs w:val="24"/>
          <w:lang w:val="en-GB" w:eastAsia="hu-HU"/>
        </w:rPr>
        <w:t xml:space="preserve"> </w:t>
      </w:r>
      <w:r w:rsidR="00C52EB6"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What are the features of </w:t>
      </w:r>
      <w:r w:rsidR="00847068" w:rsidRPr="004D5E8E">
        <w:rPr>
          <w:rFonts w:ascii="Times New Roman" w:hAnsi="Times New Roman" w:cs="Times New Roman"/>
          <w:sz w:val="24"/>
          <w:szCs w:val="24"/>
          <w:lang w:val="en-GB"/>
        </w:rPr>
        <w:t>laws and institutions</w:t>
      </w:r>
      <w:r w:rsidR="00C52EB6"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 created for</w:t>
      </w:r>
      <w:r w:rsidR="00847068"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 Hungarian young people to participate in public life? </w:t>
      </w:r>
      <w:r w:rsidR="00C52EB6" w:rsidRPr="004D5E8E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847068" w:rsidRPr="004D5E8E">
        <w:rPr>
          <w:rFonts w:ascii="Times New Roman" w:hAnsi="Times New Roman" w:cs="Times New Roman"/>
          <w:sz w:val="24"/>
          <w:szCs w:val="24"/>
          <w:lang w:val="en-GB"/>
        </w:rPr>
        <w:t>ow</w:t>
      </w:r>
      <w:r w:rsidR="00C52EB6"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 did the projects encouraging youth participation </w:t>
      </w:r>
      <w:r w:rsidR="00847068" w:rsidRPr="004D5E8E">
        <w:rPr>
          <w:rFonts w:ascii="Times New Roman" w:hAnsi="Times New Roman" w:cs="Times New Roman"/>
          <w:sz w:val="24"/>
          <w:szCs w:val="24"/>
          <w:lang w:val="en-GB"/>
        </w:rPr>
        <w:t>influence decision-making processes</w:t>
      </w:r>
      <w:r w:rsidR="00C52EB6"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 in Hungary</w:t>
      </w:r>
      <w:r w:rsidR="00847068" w:rsidRPr="004D5E8E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:rsidR="00847068" w:rsidRPr="004D5E8E" w:rsidRDefault="00847068" w:rsidP="00963AF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D5E8E">
        <w:rPr>
          <w:rFonts w:ascii="Times New Roman" w:hAnsi="Times New Roman" w:cs="Times New Roman"/>
          <w:sz w:val="24"/>
          <w:szCs w:val="24"/>
          <w:lang w:val="en-GB"/>
        </w:rPr>
        <w:t>The hypothesis</w:t>
      </w:r>
      <w:r w:rsidR="00C52EB6"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 of the research is</w:t>
      </w:r>
      <w:r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 that the politicized transposition typical</w:t>
      </w:r>
      <w:r w:rsidR="00C52EB6"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 to the</w:t>
      </w:r>
      <w:r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 practice</w:t>
      </w:r>
      <w:r w:rsidR="00C52EB6"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955BBA" w:rsidRPr="004D5E8E">
        <w:rPr>
          <w:rFonts w:ascii="Times New Roman" w:hAnsi="Times New Roman" w:cs="Times New Roman"/>
          <w:sz w:val="24"/>
          <w:szCs w:val="24"/>
          <w:lang w:val="en-GB"/>
        </w:rPr>
        <w:t>Central and Eastern EU</w:t>
      </w:r>
      <w:r w:rsidR="00C52EB6"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 Member States also apply to </w:t>
      </w:r>
      <w:r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the objectives </w:t>
      </w:r>
      <w:r w:rsidR="00C52EB6"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aiming to encourage youth participation. Application of </w:t>
      </w:r>
      <w:r w:rsidRPr="004D5E8E">
        <w:rPr>
          <w:rFonts w:ascii="Times New Roman" w:hAnsi="Times New Roman" w:cs="Times New Roman"/>
          <w:sz w:val="24"/>
          <w:szCs w:val="24"/>
          <w:lang w:val="en-GB"/>
        </w:rPr>
        <w:t>leg</w:t>
      </w:r>
      <w:r w:rsidR="00C52EB6"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al provisions and </w:t>
      </w:r>
      <w:r w:rsidR="004D5E8E">
        <w:rPr>
          <w:rFonts w:ascii="Times New Roman" w:hAnsi="Times New Roman" w:cs="Times New Roman"/>
          <w:sz w:val="24"/>
          <w:szCs w:val="24"/>
          <w:lang w:val="en-GB"/>
        </w:rPr>
        <w:t xml:space="preserve">the use of </w:t>
      </w:r>
      <w:r w:rsidR="00C52EB6"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development plans is incidental. The </w:t>
      </w:r>
      <w:r w:rsidRPr="004D5E8E">
        <w:rPr>
          <w:rFonts w:ascii="Times New Roman" w:hAnsi="Times New Roman" w:cs="Times New Roman"/>
          <w:sz w:val="24"/>
          <w:szCs w:val="24"/>
          <w:lang w:val="en-GB"/>
        </w:rPr>
        <w:t>implementation of common objectives</w:t>
      </w:r>
      <w:r w:rsidR="00C52EB6"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 at </w:t>
      </w:r>
      <w:r w:rsidRPr="004D5E8E">
        <w:rPr>
          <w:rFonts w:ascii="Times New Roman" w:hAnsi="Times New Roman" w:cs="Times New Roman"/>
          <w:sz w:val="24"/>
          <w:szCs w:val="24"/>
          <w:lang w:val="en-GB"/>
        </w:rPr>
        <w:t>local level is l</w:t>
      </w:r>
      <w:r w:rsidR="00C52EB6" w:rsidRPr="004D5E8E">
        <w:rPr>
          <w:rFonts w:ascii="Times New Roman" w:hAnsi="Times New Roman" w:cs="Times New Roman"/>
          <w:sz w:val="24"/>
          <w:szCs w:val="24"/>
          <w:lang w:val="en-GB"/>
        </w:rPr>
        <w:t>argely determined by the</w:t>
      </w:r>
      <w:r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52EB6"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legal </w:t>
      </w:r>
      <w:r w:rsidRPr="004D5E8E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C52EB6" w:rsidRPr="004D5E8E">
        <w:rPr>
          <w:rFonts w:ascii="Times New Roman" w:hAnsi="Times New Roman" w:cs="Times New Roman"/>
          <w:sz w:val="24"/>
          <w:szCs w:val="24"/>
          <w:lang w:val="en-GB"/>
        </w:rPr>
        <w:t>greement between</w:t>
      </w:r>
      <w:r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 local</w:t>
      </w:r>
      <w:r w:rsidR="00C52EB6"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 youth</w:t>
      </w:r>
      <w:r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 organization</w:t>
      </w:r>
      <w:r w:rsidR="00C52EB6" w:rsidRPr="004D5E8E">
        <w:rPr>
          <w:rFonts w:ascii="Times New Roman" w:hAnsi="Times New Roman" w:cs="Times New Roman"/>
          <w:sz w:val="24"/>
          <w:szCs w:val="24"/>
          <w:lang w:val="en-GB"/>
        </w:rPr>
        <w:t>s and local government,</w:t>
      </w:r>
      <w:r w:rsidR="00955BBA"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 the electoral process of youth representatives,</w:t>
      </w:r>
      <w:r w:rsidR="00C52EB6"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D5E8E">
        <w:rPr>
          <w:rFonts w:ascii="Times New Roman" w:hAnsi="Times New Roman" w:cs="Times New Roman"/>
          <w:sz w:val="24"/>
          <w:szCs w:val="24"/>
          <w:lang w:val="en-GB"/>
        </w:rPr>
        <w:t>the conciliation procedure between the two organizations, the autonomy</w:t>
      </w:r>
      <w:r w:rsidR="00C52EB6"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 of the youth organisations</w:t>
      </w:r>
      <w:r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955BBA"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955BBA"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legal </w:t>
      </w:r>
      <w:r w:rsidRPr="004D5E8E">
        <w:rPr>
          <w:rFonts w:ascii="Times New Roman" w:hAnsi="Times New Roman" w:cs="Times New Roman"/>
          <w:sz w:val="24"/>
          <w:szCs w:val="24"/>
          <w:lang w:val="en-GB"/>
        </w:rPr>
        <w:t>form of the organization</w:t>
      </w:r>
      <w:r w:rsidR="00C52EB6" w:rsidRPr="004D5E8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4D5E8E">
        <w:rPr>
          <w:rFonts w:ascii="Times New Roman" w:hAnsi="Times New Roman" w:cs="Times New Roman"/>
          <w:sz w:val="24"/>
          <w:szCs w:val="24"/>
          <w:lang w:val="en-GB"/>
        </w:rPr>
        <w:t>. The more time</w:t>
      </w:r>
      <w:r w:rsidR="00955BBA"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 the agreement is put into practice</w:t>
      </w:r>
      <w:r w:rsidRPr="004D5E8E">
        <w:rPr>
          <w:rFonts w:ascii="Times New Roman" w:hAnsi="Times New Roman" w:cs="Times New Roman"/>
          <w:sz w:val="24"/>
          <w:szCs w:val="24"/>
          <w:lang w:val="en-GB"/>
        </w:rPr>
        <w:t>, the greater the autonomy of</w:t>
      </w:r>
      <w:r w:rsidR="00955BBA"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 the youth representative structures,</w:t>
      </w:r>
      <w:r w:rsidRPr="004D5E8E">
        <w:rPr>
          <w:rFonts w:ascii="Times New Roman" w:hAnsi="Times New Roman" w:cs="Times New Roman"/>
          <w:sz w:val="24"/>
          <w:szCs w:val="24"/>
          <w:lang w:val="en-GB"/>
        </w:rPr>
        <w:t xml:space="preserve"> the more likely that the stated objectives are applied in practice.</w:t>
      </w:r>
    </w:p>
    <w:p w:rsidR="00847068" w:rsidRPr="00201D80" w:rsidRDefault="00847068" w:rsidP="006E73DC">
      <w:pPr>
        <w:jc w:val="both"/>
        <w:rPr>
          <w:b/>
          <w:lang w:val="en-GB"/>
        </w:rPr>
      </w:pPr>
      <w:r w:rsidRPr="006E73DC">
        <w:rPr>
          <w:lang w:val="en-GB"/>
        </w:rPr>
        <w:t> </w:t>
      </w:r>
    </w:p>
    <w:p w:rsidR="00847068" w:rsidRPr="00201D80" w:rsidRDefault="00201D80" w:rsidP="006E73DC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R</w:t>
      </w:r>
      <w:r w:rsidR="00E82DD7" w:rsidRPr="00201D80">
        <w:rPr>
          <w:rFonts w:ascii="Times New Roman" w:hAnsi="Times New Roman" w:cs="Times New Roman"/>
          <w:b/>
          <w:sz w:val="24"/>
          <w:szCs w:val="24"/>
          <w:lang w:val="en-GB"/>
        </w:rPr>
        <w:t>esearch design</w:t>
      </w:r>
    </w:p>
    <w:p w:rsidR="004E5C69" w:rsidRDefault="00847068" w:rsidP="004E5C6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 w:eastAsia="hu-HU"/>
        </w:rPr>
      </w:pPr>
      <w:r w:rsidRPr="000D275D">
        <w:rPr>
          <w:rFonts w:ascii="Times New Roman" w:hAnsi="Times New Roman" w:cs="Times New Roman"/>
          <w:sz w:val="24"/>
          <w:szCs w:val="24"/>
          <w:lang w:val="en-GB"/>
        </w:rPr>
        <w:t>The research strategy</w:t>
      </w:r>
      <w:r w:rsidR="00DD3F10" w:rsidRPr="000D275D">
        <w:rPr>
          <w:rFonts w:ascii="Times New Roman" w:hAnsi="Times New Roman" w:cs="Times New Roman"/>
          <w:sz w:val="24"/>
          <w:szCs w:val="24"/>
          <w:lang w:val="en-GB"/>
        </w:rPr>
        <w:t xml:space="preserve"> is based on process tracing</w:t>
      </w:r>
      <w:r w:rsidR="00963AF5">
        <w:rPr>
          <w:rFonts w:ascii="Times New Roman" w:hAnsi="Times New Roman" w:cs="Times New Roman"/>
          <w:sz w:val="24"/>
          <w:szCs w:val="24"/>
          <w:lang w:val="en-GB"/>
        </w:rPr>
        <w:t>. F</w:t>
      </w:r>
      <w:r w:rsidR="00DD3F10" w:rsidRPr="000D275D">
        <w:rPr>
          <w:rFonts w:ascii="Times New Roman" w:hAnsi="Times New Roman" w:cs="Times New Roman"/>
          <w:sz w:val="24"/>
          <w:szCs w:val="24"/>
          <w:lang w:val="en-GB"/>
        </w:rPr>
        <w:t xml:space="preserve">ollowing theories about Europeanization </w:t>
      </w:r>
      <w:r w:rsidRPr="000D275D">
        <w:rPr>
          <w:rFonts w:ascii="Times New Roman" w:hAnsi="Times New Roman" w:cs="Times New Roman"/>
          <w:sz w:val="24"/>
          <w:szCs w:val="24"/>
          <w:lang w:val="en-GB"/>
        </w:rPr>
        <w:t xml:space="preserve">assumptions </w:t>
      </w:r>
      <w:r w:rsidR="00DD3F10" w:rsidRPr="000D275D">
        <w:rPr>
          <w:rFonts w:ascii="Times New Roman" w:hAnsi="Times New Roman" w:cs="Times New Roman"/>
          <w:sz w:val="24"/>
          <w:szCs w:val="24"/>
          <w:lang w:val="en-GB"/>
        </w:rPr>
        <w:t>are made about what might happen, how and when</w:t>
      </w:r>
      <w:r w:rsidRPr="000D275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DD3F10" w:rsidRPr="000D275D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0D275D">
        <w:rPr>
          <w:rFonts w:ascii="Times New Roman" w:hAnsi="Times New Roman" w:cs="Times New Roman"/>
          <w:sz w:val="24"/>
          <w:szCs w:val="24"/>
          <w:lang w:val="en-GB"/>
        </w:rPr>
        <w:t>hen</w:t>
      </w:r>
      <w:r w:rsidR="00DD3F10" w:rsidRPr="000D275D">
        <w:rPr>
          <w:rFonts w:ascii="Times New Roman" w:hAnsi="Times New Roman" w:cs="Times New Roman"/>
          <w:sz w:val="24"/>
          <w:szCs w:val="24"/>
          <w:lang w:val="en-GB"/>
        </w:rPr>
        <w:t xml:space="preserve"> assumptions</w:t>
      </w:r>
      <w:r w:rsidRPr="000D275D">
        <w:rPr>
          <w:rFonts w:ascii="Times New Roman" w:hAnsi="Times New Roman" w:cs="Times New Roman"/>
          <w:sz w:val="24"/>
          <w:szCs w:val="24"/>
          <w:lang w:val="en-GB"/>
        </w:rPr>
        <w:t xml:space="preserve"> are compared with the empirical data of the case studies</w:t>
      </w:r>
      <w:r w:rsidR="000D275D" w:rsidRPr="000D275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4E5C69" w:rsidRPr="000D275D">
        <w:rPr>
          <w:rFonts w:ascii="Times New Roman" w:hAnsi="Times New Roman" w:cs="Times New Roman"/>
          <w:sz w:val="24"/>
          <w:szCs w:val="24"/>
          <w:lang w:val="en-GB"/>
        </w:rPr>
        <w:t xml:space="preserve">The research follows </w:t>
      </w:r>
      <w:proofErr w:type="spellStart"/>
      <w:r w:rsidR="004E5C69" w:rsidRPr="000D275D">
        <w:rPr>
          <w:rFonts w:ascii="Times New Roman" w:hAnsi="Times New Roman" w:cs="Times New Roman"/>
          <w:sz w:val="24"/>
          <w:szCs w:val="24"/>
          <w:lang w:val="en-GB"/>
        </w:rPr>
        <w:lastRenderedPageBreak/>
        <w:t>Radaelli</w:t>
      </w:r>
      <w:proofErr w:type="spellEnd"/>
      <w:r w:rsidR="004E5C69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="004E5C69">
        <w:rPr>
          <w:rFonts w:ascii="Times New Roman" w:hAnsi="Times New Roman" w:cs="Times New Roman"/>
          <w:sz w:val="24"/>
          <w:szCs w:val="24"/>
          <w:lang w:val="en-GB"/>
        </w:rPr>
        <w:t>Pasquier</w:t>
      </w:r>
      <w:r w:rsidR="004D5E8E">
        <w:rPr>
          <w:rFonts w:ascii="Times New Roman" w:hAnsi="Times New Roman" w:cs="Times New Roman"/>
          <w:sz w:val="24"/>
          <w:szCs w:val="24"/>
          <w:lang w:val="en-GB"/>
        </w:rPr>
        <w:t>’s</w:t>
      </w:r>
      <w:proofErr w:type="spellEnd"/>
      <w:r w:rsidR="004D5E8E">
        <w:rPr>
          <w:rFonts w:ascii="Times New Roman" w:hAnsi="Times New Roman" w:cs="Times New Roman"/>
          <w:sz w:val="24"/>
          <w:szCs w:val="24"/>
          <w:lang w:val="en-GB"/>
        </w:rPr>
        <w:t xml:space="preserve"> fourfold typology </w:t>
      </w:r>
      <w:r w:rsidR="004E5C69">
        <w:rPr>
          <w:rFonts w:ascii="Times New Roman" w:hAnsi="Times New Roman" w:cs="Times New Roman"/>
          <w:sz w:val="24"/>
          <w:szCs w:val="24"/>
          <w:lang w:val="en-GB"/>
        </w:rPr>
        <w:t>(2008</w:t>
      </w:r>
      <w:r w:rsidR="004E5C69" w:rsidRPr="000D275D">
        <w:rPr>
          <w:rFonts w:ascii="Times New Roman" w:hAnsi="Times New Roman" w:cs="Times New Roman"/>
          <w:sz w:val="24"/>
          <w:szCs w:val="24"/>
          <w:lang w:val="en-GB"/>
        </w:rPr>
        <w:t>:37</w:t>
      </w:r>
      <w:r w:rsidR="004E5C69">
        <w:rPr>
          <w:rFonts w:ascii="Times New Roman" w:hAnsi="Times New Roman" w:cs="Times New Roman"/>
          <w:sz w:val="24"/>
          <w:szCs w:val="24"/>
          <w:lang w:val="en-GB"/>
        </w:rPr>
        <w:t>-38</w:t>
      </w:r>
      <w:r w:rsidR="004E5C69" w:rsidRPr="000D275D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proofErr w:type="gramStart"/>
      <w:r w:rsidR="004D5E8E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4E5C69" w:rsidRPr="000D275D">
        <w:rPr>
          <w:rFonts w:ascii="Times New Roman" w:hAnsi="Times New Roman" w:cs="Times New Roman"/>
          <w:sz w:val="24"/>
          <w:szCs w:val="24"/>
          <w:lang w:val="en-GB"/>
        </w:rPr>
        <w:t>his</w:t>
      </w:r>
      <w:proofErr w:type="gramEnd"/>
      <w:r w:rsidR="004E5C69" w:rsidRPr="000D275D">
        <w:rPr>
          <w:rFonts w:ascii="Times New Roman" w:hAnsi="Times New Roman" w:cs="Times New Roman"/>
          <w:sz w:val="24"/>
          <w:szCs w:val="24"/>
          <w:lang w:val="en-GB"/>
        </w:rPr>
        <w:t xml:space="preserve"> way </w:t>
      </w:r>
      <w:r w:rsidR="004E5C69" w:rsidRPr="000D275D">
        <w:rPr>
          <w:rFonts w:ascii="Times New Roman" w:hAnsi="Times New Roman" w:cs="Times New Roman"/>
          <w:sz w:val="24"/>
          <w:szCs w:val="24"/>
          <w:lang w:val="en-GB" w:eastAsia="hu-HU"/>
        </w:rPr>
        <w:t>the empirical analysis of policy change</w:t>
      </w:r>
      <w:r w:rsidR="004E5C69">
        <w:rPr>
          <w:rFonts w:ascii="Times New Roman" w:hAnsi="Times New Roman" w:cs="Times New Roman"/>
          <w:sz w:val="24"/>
          <w:szCs w:val="24"/>
          <w:lang w:val="en-GB" w:eastAsia="hu-HU"/>
        </w:rPr>
        <w:t xml:space="preserve"> is done</w:t>
      </w:r>
      <w:r w:rsidR="004E5C69" w:rsidRPr="000D275D">
        <w:rPr>
          <w:rFonts w:ascii="Times New Roman" w:hAnsi="Times New Roman" w:cs="Times New Roman"/>
          <w:sz w:val="24"/>
          <w:szCs w:val="24"/>
          <w:lang w:val="en-GB" w:eastAsia="hu-HU"/>
        </w:rPr>
        <w:t xml:space="preserve"> in institutional context and provides clues in terms of empirical research. </w:t>
      </w:r>
      <w:r w:rsidR="004E5C69" w:rsidRPr="000D275D">
        <w:rPr>
          <w:rFonts w:ascii="Times New Roman" w:hAnsi="Times New Roman" w:cs="Times New Roman"/>
          <w:sz w:val="24"/>
          <w:szCs w:val="24"/>
          <w:lang w:val="en-GB"/>
        </w:rPr>
        <w:t>Temporal patt</w:t>
      </w:r>
      <w:r w:rsidR="004E5C69">
        <w:rPr>
          <w:rFonts w:ascii="Times New Roman" w:hAnsi="Times New Roman" w:cs="Times New Roman"/>
          <w:sz w:val="24"/>
          <w:szCs w:val="24"/>
          <w:lang w:val="en-GB"/>
        </w:rPr>
        <w:t>erns are particularly important so the research</w:t>
      </w:r>
      <w:r w:rsidR="004E5C69" w:rsidRPr="000D275D">
        <w:rPr>
          <w:rFonts w:ascii="Times New Roman" w:hAnsi="Times New Roman" w:cs="Times New Roman"/>
          <w:sz w:val="24"/>
          <w:szCs w:val="24"/>
          <w:lang w:val="en-GB"/>
        </w:rPr>
        <w:t xml:space="preserve"> controls the sequence, timing and tempo </w:t>
      </w:r>
      <w:r w:rsidR="004D5E8E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4E5C69" w:rsidRPr="000D275D">
        <w:rPr>
          <w:rFonts w:ascii="Times New Roman" w:hAnsi="Times New Roman" w:cs="Times New Roman"/>
          <w:sz w:val="24"/>
          <w:szCs w:val="24"/>
          <w:lang w:val="en-GB"/>
        </w:rPr>
        <w:t xml:space="preserve">changes that occurred </w:t>
      </w:r>
      <w:r w:rsidR="004E5C69">
        <w:rPr>
          <w:rFonts w:ascii="Times New Roman" w:hAnsi="Times New Roman" w:cs="Times New Roman"/>
          <w:sz w:val="24"/>
          <w:szCs w:val="24"/>
          <w:lang w:val="en-GB"/>
        </w:rPr>
        <w:t>in the structure of the organis</w:t>
      </w:r>
      <w:r w:rsidR="004E5C69" w:rsidRPr="000D275D">
        <w:rPr>
          <w:rFonts w:ascii="Times New Roman" w:hAnsi="Times New Roman" w:cs="Times New Roman"/>
          <w:sz w:val="24"/>
          <w:szCs w:val="24"/>
          <w:lang w:val="en-GB"/>
        </w:rPr>
        <w:t xml:space="preserve">ation. </w:t>
      </w:r>
      <w:proofErr w:type="gramStart"/>
      <w:r w:rsidR="004E5C69" w:rsidRPr="000D275D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="004E5C69" w:rsidRPr="000D275D">
        <w:rPr>
          <w:rFonts w:ascii="Times New Roman" w:hAnsi="Times New Roman" w:cs="Times New Roman"/>
          <w:sz w:val="24"/>
          <w:szCs w:val="24"/>
          <w:lang w:val="en-GB"/>
        </w:rPr>
        <w:t>Schmitter-Santiso</w:t>
      </w:r>
      <w:proofErr w:type="spellEnd"/>
      <w:r w:rsidR="004E5C69" w:rsidRPr="000D275D">
        <w:rPr>
          <w:rFonts w:ascii="Times New Roman" w:hAnsi="Times New Roman" w:cs="Times New Roman"/>
          <w:sz w:val="24"/>
          <w:szCs w:val="24"/>
          <w:lang w:val="en-GB"/>
        </w:rPr>
        <w:t xml:space="preserve"> 1998).</w:t>
      </w:r>
      <w:proofErr w:type="gramEnd"/>
    </w:p>
    <w:p w:rsidR="00847068" w:rsidRDefault="00DD3F10" w:rsidP="001F3BB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D275D">
        <w:rPr>
          <w:rFonts w:ascii="Times New Roman" w:hAnsi="Times New Roman" w:cs="Times New Roman"/>
          <w:sz w:val="24"/>
          <w:szCs w:val="24"/>
          <w:lang w:val="en-GB"/>
        </w:rPr>
        <w:t xml:space="preserve">Current research has not been conducted to discover the organisational form of Hungarian youth structures. </w:t>
      </w:r>
      <w:r w:rsidR="00187302" w:rsidRPr="000D275D">
        <w:rPr>
          <w:rFonts w:ascii="Times New Roman" w:hAnsi="Times New Roman" w:cs="Times New Roman"/>
          <w:sz w:val="24"/>
          <w:szCs w:val="24"/>
          <w:lang w:val="en-GB"/>
        </w:rPr>
        <w:t xml:space="preserve">To generate data for selecting cases Regional </w:t>
      </w:r>
      <w:proofErr w:type="spellStart"/>
      <w:r w:rsidR="00187302" w:rsidRPr="000D275D">
        <w:rPr>
          <w:rFonts w:ascii="Times New Roman" w:hAnsi="Times New Roman" w:cs="Times New Roman"/>
          <w:sz w:val="24"/>
          <w:szCs w:val="24"/>
          <w:lang w:val="en-GB"/>
        </w:rPr>
        <w:t>Officies</w:t>
      </w:r>
      <w:proofErr w:type="spellEnd"/>
      <w:r w:rsidR="00187302" w:rsidRPr="000D275D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proofErr w:type="spellStart"/>
      <w:r w:rsidR="00187302" w:rsidRPr="000D275D">
        <w:rPr>
          <w:rFonts w:ascii="Times New Roman" w:hAnsi="Times New Roman" w:cs="Times New Roman"/>
          <w:sz w:val="24"/>
          <w:szCs w:val="24"/>
          <w:lang w:val="en-GB"/>
        </w:rPr>
        <w:t>Mobilitás</w:t>
      </w:r>
      <w:proofErr w:type="spellEnd"/>
      <w:r w:rsidR="00187302" w:rsidRPr="000D275D">
        <w:rPr>
          <w:rFonts w:ascii="Times New Roman" w:hAnsi="Times New Roman" w:cs="Times New Roman"/>
          <w:sz w:val="24"/>
          <w:szCs w:val="24"/>
          <w:lang w:val="en-GB"/>
        </w:rPr>
        <w:t xml:space="preserve">, the </w:t>
      </w:r>
      <w:r w:rsidR="00187302" w:rsidRPr="000D275D">
        <w:rPr>
          <w:rFonts w:ascii="Times New Roman" w:eastAsiaTheme="minorHAnsi" w:hAnsi="Times New Roman" w:cs="Times New Roman"/>
          <w:sz w:val="24"/>
          <w:szCs w:val="24"/>
          <w:lang w:val="en-GB"/>
        </w:rPr>
        <w:t>national coordinator organisation of EU Youth Policy in Hungary will be contacted. The screening process will be done trough the d</w:t>
      </w:r>
      <w:r w:rsidR="00187302" w:rsidRPr="000D275D">
        <w:rPr>
          <w:rFonts w:ascii="Times New Roman" w:hAnsi="Times New Roman" w:cs="Times New Roman"/>
          <w:sz w:val="24"/>
          <w:szCs w:val="24"/>
          <w:lang w:val="en-GB"/>
        </w:rPr>
        <w:t>ocument analysis of regional, county and local youth strategies and action plans</w:t>
      </w:r>
      <w:r w:rsidR="001F3BB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D81D61" w:rsidRPr="00D81D61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D81D61" w:rsidRPr="00D81D61">
        <w:rPr>
          <w:rStyle w:val="Kiemels"/>
          <w:rFonts w:ascii="Times New Roman" w:hAnsi="Times New Roman" w:cs="Times New Roman"/>
          <w:b w:val="0"/>
          <w:sz w:val="24"/>
          <w:szCs w:val="24"/>
          <w:lang w:val="en-GB"/>
        </w:rPr>
        <w:t>he study aims to</w:t>
      </w:r>
      <w:r w:rsidR="00D81D61" w:rsidRPr="00D81D6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D81D61" w:rsidRPr="00D81D61">
        <w:rPr>
          <w:rFonts w:ascii="Times New Roman" w:hAnsi="Times New Roman" w:cs="Times New Roman"/>
          <w:sz w:val="24"/>
          <w:szCs w:val="24"/>
          <w:lang w:val="en-GB"/>
        </w:rPr>
        <w:t>find out the most important factors influencing supportive youth structures facilitating political participation. To</w:t>
      </w:r>
      <w:r w:rsidR="00D81D61" w:rsidRPr="00D81D61">
        <w:rPr>
          <w:rStyle w:val="Kiemels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81D61" w:rsidRPr="00D81D61">
        <w:rPr>
          <w:rStyle w:val="Kiemels"/>
          <w:rFonts w:ascii="Times New Roman" w:hAnsi="Times New Roman" w:cs="Times New Roman"/>
          <w:b w:val="0"/>
          <w:sz w:val="24"/>
          <w:szCs w:val="24"/>
          <w:lang w:val="en-GB"/>
        </w:rPr>
        <w:t>detect networks of youth organisations and to understand causal relations, qualitative data needs to be generated from the most developed structures</w:t>
      </w:r>
      <w:r w:rsidR="00187302">
        <w:rPr>
          <w:rStyle w:val="Kiemels"/>
          <w:rFonts w:ascii="Times New Roman" w:hAnsi="Times New Roman" w:cs="Times New Roman"/>
          <w:b w:val="0"/>
          <w:sz w:val="24"/>
          <w:szCs w:val="24"/>
          <w:lang w:val="en-GB"/>
        </w:rPr>
        <w:t>.</w:t>
      </w:r>
      <w:r w:rsidR="00D81D61" w:rsidRPr="00D81D61">
        <w:rPr>
          <w:rStyle w:val="Kiemels"/>
          <w:rFonts w:ascii="Times New Roman" w:hAnsi="Times New Roman" w:cs="Times New Roman"/>
          <w:b w:val="0"/>
          <w:sz w:val="24"/>
          <w:szCs w:val="24"/>
          <w:lang w:val="en-GB"/>
        </w:rPr>
        <w:t xml:space="preserve"> </w:t>
      </w:r>
      <w:r w:rsidR="00D81D61" w:rsidRPr="00D81D61">
        <w:rPr>
          <w:rFonts w:ascii="Times New Roman" w:hAnsi="Times New Roman" w:cs="Times New Roman"/>
          <w:sz w:val="24"/>
          <w:szCs w:val="24"/>
          <w:lang w:val="en-GB"/>
        </w:rPr>
        <w:t xml:space="preserve">Eight descriptive case </w:t>
      </w:r>
      <w:proofErr w:type="gramStart"/>
      <w:r w:rsidR="00D81D61" w:rsidRPr="00D81D61">
        <w:rPr>
          <w:rFonts w:ascii="Times New Roman" w:hAnsi="Times New Roman" w:cs="Times New Roman"/>
          <w:sz w:val="24"/>
          <w:szCs w:val="24"/>
          <w:lang w:val="en-GB"/>
        </w:rPr>
        <w:t>study</w:t>
      </w:r>
      <w:proofErr w:type="gramEnd"/>
      <w:r w:rsidR="00D81D61" w:rsidRPr="00D81D61">
        <w:rPr>
          <w:rFonts w:ascii="Times New Roman" w:hAnsi="Times New Roman" w:cs="Times New Roman"/>
          <w:sz w:val="24"/>
          <w:szCs w:val="24"/>
          <w:lang w:val="en-GB"/>
        </w:rPr>
        <w:t xml:space="preserve"> will be conducted in on</w:t>
      </w:r>
      <w:r w:rsidR="00187302">
        <w:rPr>
          <w:rFonts w:ascii="Times New Roman" w:hAnsi="Times New Roman" w:cs="Times New Roman"/>
          <w:sz w:val="24"/>
          <w:szCs w:val="24"/>
          <w:lang w:val="en-GB"/>
        </w:rPr>
        <w:t xml:space="preserve">e Hungarian region. In </w:t>
      </w:r>
      <w:r w:rsidR="00187302" w:rsidRPr="000D275D">
        <w:rPr>
          <w:rFonts w:ascii="Times New Roman" w:hAnsi="Times New Roman" w:cs="Times New Roman"/>
          <w:sz w:val="24"/>
          <w:szCs w:val="24"/>
          <w:lang w:val="en-GB"/>
        </w:rPr>
        <w:t>depth interviews</w:t>
      </w:r>
      <w:r w:rsidR="00187302">
        <w:rPr>
          <w:rFonts w:ascii="Times New Roman" w:hAnsi="Times New Roman" w:cs="Times New Roman"/>
          <w:sz w:val="24"/>
          <w:szCs w:val="24"/>
          <w:lang w:val="en-GB"/>
        </w:rPr>
        <w:t xml:space="preserve"> will be conducted in the</w:t>
      </w:r>
      <w:r w:rsidR="00187302" w:rsidRPr="000D275D">
        <w:rPr>
          <w:rFonts w:ascii="Times New Roman" w:hAnsi="Times New Roman" w:cs="Times New Roman"/>
          <w:sz w:val="24"/>
          <w:szCs w:val="24"/>
          <w:lang w:val="en-GB"/>
        </w:rPr>
        <w:t xml:space="preserve"> sampled municipalities with mayors and municipal</w:t>
      </w:r>
      <w:r w:rsidR="00187302">
        <w:rPr>
          <w:rFonts w:ascii="Times New Roman" w:hAnsi="Times New Roman" w:cs="Times New Roman"/>
          <w:sz w:val="24"/>
          <w:szCs w:val="24"/>
          <w:lang w:val="en-GB"/>
        </w:rPr>
        <w:t xml:space="preserve"> youth</w:t>
      </w:r>
      <w:r w:rsidR="00187302" w:rsidRPr="000D275D">
        <w:rPr>
          <w:rFonts w:ascii="Times New Roman" w:hAnsi="Times New Roman" w:cs="Times New Roman"/>
          <w:sz w:val="24"/>
          <w:szCs w:val="24"/>
          <w:lang w:val="en-GB"/>
        </w:rPr>
        <w:t xml:space="preserve"> council leader</w:t>
      </w:r>
      <w:r w:rsidR="0018730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187302" w:rsidRPr="000D275D">
        <w:rPr>
          <w:rFonts w:ascii="Times New Roman" w:hAnsi="Times New Roman" w:cs="Times New Roman"/>
          <w:sz w:val="24"/>
          <w:szCs w:val="24"/>
          <w:lang w:val="en-GB"/>
        </w:rPr>
        <w:t xml:space="preserve">, the </w:t>
      </w:r>
      <w:r w:rsidR="00187302">
        <w:rPr>
          <w:rFonts w:ascii="Times New Roman" w:hAnsi="Times New Roman" w:cs="Times New Roman"/>
          <w:sz w:val="24"/>
          <w:szCs w:val="24"/>
          <w:lang w:val="en-GB"/>
        </w:rPr>
        <w:t xml:space="preserve">municipal </w:t>
      </w:r>
      <w:r w:rsidR="00187302" w:rsidRPr="000D275D">
        <w:rPr>
          <w:rFonts w:ascii="Times New Roman" w:hAnsi="Times New Roman" w:cs="Times New Roman"/>
          <w:sz w:val="24"/>
          <w:szCs w:val="24"/>
          <w:lang w:val="en-GB"/>
        </w:rPr>
        <w:t>youth</w:t>
      </w:r>
      <w:r w:rsidR="00187302">
        <w:rPr>
          <w:rFonts w:ascii="Times New Roman" w:hAnsi="Times New Roman" w:cs="Times New Roman"/>
          <w:sz w:val="24"/>
          <w:szCs w:val="24"/>
          <w:lang w:val="en-GB"/>
        </w:rPr>
        <w:t xml:space="preserve"> workers and</w:t>
      </w:r>
      <w:r w:rsidR="00187302" w:rsidRPr="000D27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87302">
        <w:rPr>
          <w:rFonts w:ascii="Times New Roman" w:hAnsi="Times New Roman" w:cs="Times New Roman"/>
          <w:sz w:val="24"/>
          <w:szCs w:val="24"/>
          <w:lang w:val="en-GB"/>
        </w:rPr>
        <w:t>leaders of local NGOs committed for the political participation of young people.</w:t>
      </w:r>
      <w:r w:rsidR="001F3B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47068" w:rsidRPr="00D81D6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D81D61" w:rsidRPr="00D81D61">
        <w:rPr>
          <w:rFonts w:ascii="Times New Roman" w:hAnsi="Times New Roman" w:cs="Times New Roman"/>
          <w:sz w:val="24"/>
          <w:szCs w:val="24"/>
          <w:lang w:val="en-GB"/>
        </w:rPr>
        <w:t xml:space="preserve">collected data will be analysed through </w:t>
      </w:r>
      <w:r w:rsidR="00847068" w:rsidRPr="00D81D61">
        <w:rPr>
          <w:rFonts w:ascii="Times New Roman" w:hAnsi="Times New Roman" w:cs="Times New Roman"/>
          <w:sz w:val="24"/>
          <w:szCs w:val="24"/>
          <w:lang w:val="en-GB"/>
        </w:rPr>
        <w:t>document analysis and qualitative co</w:t>
      </w:r>
      <w:r w:rsidR="00D81D61" w:rsidRPr="00D81D61">
        <w:rPr>
          <w:rFonts w:ascii="Times New Roman" w:hAnsi="Times New Roman" w:cs="Times New Roman"/>
          <w:sz w:val="24"/>
          <w:szCs w:val="24"/>
          <w:lang w:val="en-GB"/>
        </w:rPr>
        <w:t>ntent analysis.</w:t>
      </w:r>
    </w:p>
    <w:p w:rsidR="00187302" w:rsidRPr="00D81D61" w:rsidRDefault="00187302" w:rsidP="001873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47068" w:rsidRPr="001E2D05" w:rsidRDefault="00847068" w:rsidP="001873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E2D05">
        <w:rPr>
          <w:rFonts w:ascii="Times New Roman" w:hAnsi="Times New Roman" w:cs="Times New Roman"/>
          <w:b/>
          <w:sz w:val="24"/>
          <w:szCs w:val="24"/>
          <w:lang w:val="en-GB"/>
        </w:rPr>
        <w:t>Expected results of the research</w:t>
      </w:r>
    </w:p>
    <w:p w:rsidR="00C6213C" w:rsidRDefault="00DD3F10" w:rsidP="00077DF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 w:eastAsia="hu-HU"/>
        </w:rPr>
      </w:pPr>
      <w:r w:rsidRPr="00DD3F10">
        <w:rPr>
          <w:rFonts w:ascii="Times New Roman" w:hAnsi="Times New Roman" w:cs="Times New Roman"/>
          <w:sz w:val="24"/>
          <w:szCs w:val="24"/>
          <w:lang w:val="en-GB" w:eastAsia="hu-HU"/>
        </w:rPr>
        <w:t xml:space="preserve">While doing case studies the research might </w:t>
      </w:r>
      <w:r w:rsidRPr="00DD3F10">
        <w:rPr>
          <w:rFonts w:ascii="Times New Roman" w:eastAsia="Meta-Normal--Identity-H" w:hAnsi="Times New Roman" w:cs="Times New Roman"/>
          <w:color w:val="111111"/>
          <w:sz w:val="24"/>
          <w:szCs w:val="24"/>
          <w:lang w:val="en-GB"/>
        </w:rPr>
        <w:t xml:space="preserve">widen the scope of research methods on youth participation patterns, which up to now seem to be dominated by quantitative designs. </w:t>
      </w:r>
      <w:proofErr w:type="spellStart"/>
      <w:r w:rsidRPr="001F3BBD">
        <w:rPr>
          <w:rFonts w:ascii="Times New Roman" w:eastAsia="Meta-Normal--Identity-H" w:hAnsi="Times New Roman" w:cs="Times New Roman"/>
          <w:smallCaps/>
          <w:color w:val="111111"/>
          <w:sz w:val="24"/>
          <w:szCs w:val="24"/>
          <w:lang w:val="en-GB"/>
        </w:rPr>
        <w:t>Kovaceva</w:t>
      </w:r>
      <w:proofErr w:type="spellEnd"/>
      <w:r w:rsidRPr="00DD3F10">
        <w:rPr>
          <w:rFonts w:ascii="Times New Roman" w:eastAsia="Meta-Normal--Identity-H" w:hAnsi="Times New Roman" w:cs="Times New Roman"/>
          <w:color w:val="111111"/>
          <w:sz w:val="24"/>
          <w:szCs w:val="24"/>
          <w:lang w:val="en-GB"/>
        </w:rPr>
        <w:t xml:space="preserve"> (2005:27) stress the import</w:t>
      </w:r>
      <w:r>
        <w:rPr>
          <w:rFonts w:ascii="Times New Roman" w:eastAsia="Meta-Normal--Identity-H" w:hAnsi="Times New Roman" w:cs="Times New Roman"/>
          <w:color w:val="111111"/>
          <w:sz w:val="24"/>
          <w:szCs w:val="24"/>
          <w:lang w:val="en-GB"/>
        </w:rPr>
        <w:t>a</w:t>
      </w:r>
      <w:r w:rsidRPr="00DD3F10">
        <w:rPr>
          <w:rFonts w:ascii="Times New Roman" w:eastAsia="Meta-Normal--Identity-H" w:hAnsi="Times New Roman" w:cs="Times New Roman"/>
          <w:color w:val="111111"/>
          <w:sz w:val="24"/>
          <w:szCs w:val="24"/>
          <w:lang w:val="en-GB"/>
        </w:rPr>
        <w:t xml:space="preserve">nce of doing more case studies of youth participation projects, </w:t>
      </w:r>
      <w:proofErr w:type="spellStart"/>
      <w:r w:rsidRPr="00DD3F10">
        <w:rPr>
          <w:rFonts w:ascii="Times New Roman" w:eastAsia="Meta-Normal--Identity-H" w:hAnsi="Times New Roman" w:cs="Times New Roman"/>
          <w:color w:val="111111"/>
          <w:sz w:val="24"/>
          <w:szCs w:val="24"/>
          <w:lang w:val="en-GB"/>
        </w:rPr>
        <w:t>indepth</w:t>
      </w:r>
      <w:proofErr w:type="spellEnd"/>
      <w:r w:rsidRPr="00DD3F10">
        <w:rPr>
          <w:rFonts w:ascii="Times New Roman" w:eastAsia="Meta-Normal--Identity-H" w:hAnsi="Times New Roman" w:cs="Times New Roman"/>
          <w:color w:val="111111"/>
          <w:sz w:val="24"/>
          <w:szCs w:val="24"/>
          <w:lang w:val="en-GB"/>
        </w:rPr>
        <w:t xml:space="preserve"> interviews and g</w:t>
      </w:r>
      <w:r w:rsidR="001F3BBD">
        <w:rPr>
          <w:rFonts w:ascii="Times New Roman" w:eastAsia="Meta-Normal--Identity-H" w:hAnsi="Times New Roman" w:cs="Times New Roman"/>
          <w:color w:val="111111"/>
          <w:sz w:val="24"/>
          <w:szCs w:val="24"/>
          <w:lang w:val="en-GB"/>
        </w:rPr>
        <w:t xml:space="preserve">roup discussions, </w:t>
      </w:r>
      <w:r w:rsidRPr="00DD3F10">
        <w:rPr>
          <w:rFonts w:ascii="Times New Roman" w:eastAsia="Meta-Normal--Identity-H" w:hAnsi="Times New Roman" w:cs="Times New Roman"/>
          <w:color w:val="111111"/>
          <w:sz w:val="24"/>
          <w:szCs w:val="24"/>
          <w:lang w:val="en-GB"/>
        </w:rPr>
        <w:t xml:space="preserve">and multi-country comparative studies. </w:t>
      </w:r>
      <w:r w:rsidRPr="00DD3F10">
        <w:rPr>
          <w:rFonts w:ascii="Times New Roman" w:hAnsi="Times New Roman" w:cs="Times New Roman"/>
          <w:sz w:val="24"/>
          <w:szCs w:val="24"/>
          <w:lang w:val="en-GB" w:eastAsia="hu-HU"/>
        </w:rPr>
        <w:t>Since there is simply no appropriate quantitative data for analysing the “street-level” aspects of implementation, the research devote effo</w:t>
      </w:r>
      <w:r w:rsidR="004F630D">
        <w:rPr>
          <w:rFonts w:ascii="Times New Roman" w:hAnsi="Times New Roman" w:cs="Times New Roman"/>
          <w:sz w:val="24"/>
          <w:szCs w:val="24"/>
          <w:lang w:val="en-GB" w:eastAsia="hu-HU"/>
        </w:rPr>
        <w:t>r</w:t>
      </w:r>
      <w:r w:rsidRPr="00DD3F10">
        <w:rPr>
          <w:rFonts w:ascii="Times New Roman" w:hAnsi="Times New Roman" w:cs="Times New Roman"/>
          <w:sz w:val="24"/>
          <w:szCs w:val="24"/>
          <w:lang w:val="en-GB" w:eastAsia="hu-HU"/>
        </w:rPr>
        <w:t xml:space="preserve">ts to the neglected area of enforcement and application. </w:t>
      </w:r>
      <w:r w:rsidR="004F630D" w:rsidRPr="004F630D">
        <w:rPr>
          <w:rFonts w:ascii="Times New Roman" w:hAnsi="Times New Roman" w:cs="Times New Roman"/>
          <w:sz w:val="24"/>
          <w:szCs w:val="24"/>
          <w:lang w:val="en-GB" w:eastAsia="hu-HU"/>
        </w:rPr>
        <w:t>The</w:t>
      </w:r>
      <w:r w:rsidR="004F630D">
        <w:rPr>
          <w:rFonts w:ascii="Times New Roman" w:hAnsi="Times New Roman" w:cs="Times New Roman"/>
          <w:sz w:val="24"/>
          <w:szCs w:val="24"/>
          <w:lang w:val="en-GB" w:eastAsia="hu-HU"/>
        </w:rPr>
        <w:t xml:space="preserve"> study written </w:t>
      </w:r>
      <w:r w:rsidR="004F630D" w:rsidRPr="004F630D">
        <w:rPr>
          <w:rFonts w:ascii="Times New Roman" w:hAnsi="Times New Roman" w:cs="Times New Roman"/>
          <w:sz w:val="24"/>
          <w:szCs w:val="24"/>
          <w:lang w:val="en-GB" w:eastAsia="hu-HU"/>
        </w:rPr>
        <w:t>in Hungarian pro</w:t>
      </w:r>
      <w:r w:rsidR="004F630D">
        <w:rPr>
          <w:rFonts w:ascii="Times New Roman" w:hAnsi="Times New Roman" w:cs="Times New Roman"/>
          <w:sz w:val="24"/>
          <w:szCs w:val="24"/>
          <w:lang w:val="en-GB" w:eastAsia="hu-HU"/>
        </w:rPr>
        <w:t xml:space="preserve">vides feedback to </w:t>
      </w:r>
      <w:r w:rsidR="004F630D" w:rsidRPr="004F630D">
        <w:rPr>
          <w:rFonts w:ascii="Times New Roman" w:hAnsi="Times New Roman" w:cs="Times New Roman"/>
          <w:sz w:val="24"/>
          <w:szCs w:val="24"/>
          <w:lang w:val="en-GB" w:eastAsia="hu-HU"/>
        </w:rPr>
        <w:t xml:space="preserve">the Hungarian youth </w:t>
      </w:r>
      <w:r w:rsidR="004F630D">
        <w:rPr>
          <w:rFonts w:ascii="Times New Roman" w:hAnsi="Times New Roman" w:cs="Times New Roman"/>
          <w:sz w:val="24"/>
          <w:szCs w:val="24"/>
          <w:lang w:val="en-GB" w:eastAsia="hu-HU"/>
        </w:rPr>
        <w:t xml:space="preserve">policy about the </w:t>
      </w:r>
      <w:r w:rsidR="004F630D" w:rsidRPr="004F630D">
        <w:rPr>
          <w:rFonts w:ascii="Times New Roman" w:hAnsi="Times New Roman" w:cs="Times New Roman"/>
          <w:sz w:val="24"/>
          <w:szCs w:val="24"/>
          <w:lang w:val="en-GB" w:eastAsia="hu-HU"/>
        </w:rPr>
        <w:t>"street-level" level aspects of the implementation and application of</w:t>
      </w:r>
      <w:r w:rsidR="004F630D">
        <w:rPr>
          <w:rFonts w:ascii="Times New Roman" w:hAnsi="Times New Roman" w:cs="Times New Roman"/>
          <w:sz w:val="24"/>
          <w:szCs w:val="24"/>
          <w:lang w:val="en-GB" w:eastAsia="hu-HU"/>
        </w:rPr>
        <w:t xml:space="preserve"> the objectives, </w:t>
      </w:r>
      <w:r w:rsidR="00AD5103">
        <w:rPr>
          <w:rFonts w:ascii="Times New Roman" w:hAnsi="Times New Roman" w:cs="Times New Roman"/>
          <w:sz w:val="24"/>
          <w:szCs w:val="24"/>
          <w:lang w:val="en-GB" w:eastAsia="hu-HU"/>
        </w:rPr>
        <w:t>while</w:t>
      </w:r>
      <w:r w:rsidR="004F630D">
        <w:rPr>
          <w:rFonts w:ascii="Times New Roman" w:hAnsi="Times New Roman" w:cs="Times New Roman"/>
          <w:sz w:val="24"/>
          <w:szCs w:val="24"/>
          <w:lang w:val="en-GB" w:eastAsia="hu-HU"/>
        </w:rPr>
        <w:t xml:space="preserve"> the</w:t>
      </w:r>
      <w:r w:rsidR="004F630D" w:rsidRPr="004F630D">
        <w:rPr>
          <w:rFonts w:ascii="Times New Roman" w:hAnsi="Times New Roman" w:cs="Times New Roman"/>
          <w:sz w:val="24"/>
          <w:szCs w:val="24"/>
          <w:lang w:val="en-GB" w:eastAsia="hu-HU"/>
        </w:rPr>
        <w:t xml:space="preserve"> database</w:t>
      </w:r>
      <w:r w:rsidR="004F630D">
        <w:rPr>
          <w:rFonts w:ascii="Times New Roman" w:hAnsi="Times New Roman" w:cs="Times New Roman"/>
          <w:sz w:val="24"/>
          <w:szCs w:val="24"/>
          <w:lang w:val="en-GB" w:eastAsia="hu-HU"/>
        </w:rPr>
        <w:t xml:space="preserve"> and the English version of the study</w:t>
      </w:r>
      <w:r w:rsidR="004F630D" w:rsidRPr="004F630D">
        <w:rPr>
          <w:rFonts w:ascii="Times New Roman" w:hAnsi="Times New Roman" w:cs="Times New Roman"/>
          <w:sz w:val="24"/>
          <w:szCs w:val="24"/>
          <w:lang w:val="en-GB" w:eastAsia="hu-HU"/>
        </w:rPr>
        <w:t xml:space="preserve"> allows</w:t>
      </w:r>
      <w:r w:rsidR="004F630D">
        <w:rPr>
          <w:rFonts w:ascii="Times New Roman" w:hAnsi="Times New Roman" w:cs="Times New Roman"/>
          <w:sz w:val="24"/>
          <w:szCs w:val="24"/>
          <w:lang w:val="en-GB" w:eastAsia="hu-HU"/>
        </w:rPr>
        <w:t xml:space="preserve"> </w:t>
      </w:r>
      <w:r w:rsidR="004F630D" w:rsidRPr="004F630D">
        <w:rPr>
          <w:rFonts w:ascii="Times New Roman" w:hAnsi="Times New Roman" w:cs="Times New Roman"/>
          <w:sz w:val="24"/>
          <w:szCs w:val="24"/>
          <w:lang w:val="en-GB" w:eastAsia="hu-HU"/>
        </w:rPr>
        <w:t xml:space="preserve">to compare </w:t>
      </w:r>
      <w:r w:rsidR="00AD5103">
        <w:rPr>
          <w:rFonts w:ascii="Times New Roman" w:hAnsi="Times New Roman" w:cs="Times New Roman"/>
          <w:sz w:val="24"/>
          <w:szCs w:val="24"/>
          <w:lang w:val="en-GB" w:eastAsia="hu-HU"/>
        </w:rPr>
        <w:t xml:space="preserve">developments of youth structures in Hungary in frame of the </w:t>
      </w:r>
      <w:r w:rsidR="004F630D" w:rsidRPr="004F630D">
        <w:rPr>
          <w:rFonts w:ascii="Times New Roman" w:hAnsi="Times New Roman" w:cs="Times New Roman"/>
          <w:sz w:val="24"/>
          <w:szCs w:val="24"/>
          <w:lang w:val="en-GB" w:eastAsia="hu-HU"/>
        </w:rPr>
        <w:t xml:space="preserve">evidence-based </w:t>
      </w:r>
      <w:r w:rsidR="00AD5103">
        <w:rPr>
          <w:rFonts w:ascii="Times New Roman" w:hAnsi="Times New Roman" w:cs="Times New Roman"/>
          <w:sz w:val="24"/>
          <w:szCs w:val="24"/>
          <w:lang w:val="en-GB" w:eastAsia="hu-HU"/>
        </w:rPr>
        <w:t>youth p</w:t>
      </w:r>
      <w:r w:rsidR="004F630D" w:rsidRPr="004F630D">
        <w:rPr>
          <w:rFonts w:ascii="Times New Roman" w:hAnsi="Times New Roman" w:cs="Times New Roman"/>
          <w:sz w:val="24"/>
          <w:szCs w:val="24"/>
          <w:lang w:val="en-GB" w:eastAsia="hu-HU"/>
        </w:rPr>
        <w:t>olicy</w:t>
      </w:r>
      <w:r w:rsidR="00AD5103">
        <w:rPr>
          <w:rFonts w:ascii="Times New Roman" w:hAnsi="Times New Roman" w:cs="Times New Roman"/>
          <w:sz w:val="24"/>
          <w:szCs w:val="24"/>
          <w:lang w:val="en-GB" w:eastAsia="hu-HU"/>
        </w:rPr>
        <w:t xml:space="preserve"> making of the EU.</w:t>
      </w:r>
    </w:p>
    <w:p w:rsidR="00AD5103" w:rsidRDefault="00AD5103" w:rsidP="00077DF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 w:eastAsia="hu-HU"/>
        </w:rPr>
      </w:pPr>
    </w:p>
    <w:p w:rsidR="00AD5103" w:rsidRDefault="00AD5103" w:rsidP="00077DF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 w:eastAsia="hu-HU"/>
        </w:rPr>
      </w:pPr>
    </w:p>
    <w:p w:rsidR="00606F27" w:rsidRPr="00C559F3" w:rsidRDefault="00606F27" w:rsidP="00606F27">
      <w:pPr>
        <w:pStyle w:val="Cmsor2"/>
        <w:spacing w:after="240"/>
        <w:ind w:left="0" w:firstLine="0"/>
        <w:jc w:val="left"/>
        <w:rPr>
          <w:rFonts w:ascii="Times New Roman" w:hAnsi="Times New Roman"/>
          <w:b w:val="0"/>
          <w:sz w:val="22"/>
          <w:szCs w:val="22"/>
        </w:rPr>
      </w:pPr>
      <w:proofErr w:type="spellStart"/>
      <w:r>
        <w:rPr>
          <w:rFonts w:ascii="Times New Roman" w:hAnsi="Times New Roman"/>
        </w:rPr>
        <w:lastRenderedPageBreak/>
        <w:t>Working</w:t>
      </w:r>
      <w:proofErr w:type="spellEnd"/>
      <w:r>
        <w:rPr>
          <w:rFonts w:ascii="Times New Roman" w:hAnsi="Times New Roman"/>
        </w:rPr>
        <w:t xml:space="preserve"> </w:t>
      </w:r>
      <w:r w:rsidR="00AD5103">
        <w:rPr>
          <w:rFonts w:ascii="Times New Roman" w:hAnsi="Times New Roman"/>
        </w:rPr>
        <w:t>Schedule</w:t>
      </w:r>
    </w:p>
    <w:tbl>
      <w:tblPr>
        <w:tblW w:w="9589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667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60"/>
      </w:tblGrid>
      <w:tr w:rsidR="00606F27" w:rsidRPr="00D9097D" w:rsidTr="00514AAB">
        <w:trPr>
          <w:trHeight w:val="277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27" w:rsidRPr="00C559F3" w:rsidRDefault="00792497" w:rsidP="007924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Year</w:t>
            </w:r>
          </w:p>
        </w:tc>
        <w:tc>
          <w:tcPr>
            <w:tcW w:w="29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2013</w:t>
            </w:r>
          </w:p>
        </w:tc>
      </w:tr>
      <w:tr w:rsidR="00606F27" w:rsidRPr="00D9097D" w:rsidTr="00AD5103">
        <w:trPr>
          <w:trHeight w:val="21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27" w:rsidRPr="00792497" w:rsidRDefault="00792497" w:rsidP="00792497">
            <w:pPr>
              <w:jc w:val="center"/>
              <w:rPr>
                <w:rFonts w:ascii="Times New Roman" w:eastAsia="Times New Roman" w:hAnsi="Times New Roman"/>
                <w:lang w:val="en-GB" w:eastAsia="hu-HU"/>
              </w:rPr>
            </w:pPr>
            <w:r>
              <w:rPr>
                <w:rFonts w:ascii="Times New Roman" w:eastAsia="Times New Roman" w:hAnsi="Times New Roman"/>
                <w:lang w:val="en-GB" w:eastAsia="hu-HU"/>
              </w:rPr>
              <w:t>M</w:t>
            </w:r>
            <w:r w:rsidRPr="00792497">
              <w:rPr>
                <w:rFonts w:ascii="Times New Roman" w:eastAsia="Times New Roman" w:hAnsi="Times New Roman"/>
                <w:lang w:val="en-GB" w:eastAsia="hu-HU"/>
              </w:rPr>
              <w:t>onth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C559F3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C559F3">
              <w:rPr>
                <w:rFonts w:ascii="Times New Roman" w:eastAsia="Times New Roman" w:hAnsi="Times New Roman"/>
                <w:lang w:eastAsia="hu-H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C559F3">
              <w:rPr>
                <w:rFonts w:ascii="Times New Roman" w:eastAsia="Times New Roman" w:hAnsi="Times New Roman"/>
                <w:lang w:eastAsia="hu-H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C559F3">
              <w:rPr>
                <w:rFonts w:ascii="Times New Roman" w:eastAsia="Times New Roman" w:hAnsi="Times New Roman"/>
                <w:lang w:eastAsia="hu-H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C559F3">
              <w:rPr>
                <w:rFonts w:ascii="Times New Roman" w:eastAsia="Times New Roman" w:hAnsi="Times New Roman"/>
                <w:lang w:eastAsia="hu-H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C559F3">
              <w:rPr>
                <w:rFonts w:ascii="Times New Roman" w:eastAsia="Times New Roman" w:hAnsi="Times New Roman"/>
                <w:lang w:eastAsia="hu-HU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C559F3">
              <w:rPr>
                <w:rFonts w:ascii="Times New Roman" w:eastAsia="Times New Roman" w:hAnsi="Times New Roman"/>
                <w:lang w:eastAsia="hu-HU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C559F3">
              <w:rPr>
                <w:rFonts w:ascii="Times New Roman" w:eastAsia="Times New Roman" w:hAnsi="Times New Roman"/>
                <w:lang w:eastAsia="hu-H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C559F3">
              <w:rPr>
                <w:rFonts w:ascii="Times New Roman" w:eastAsia="Times New Roman" w:hAnsi="Times New Roman"/>
                <w:lang w:eastAsia="hu-HU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C559F3">
              <w:rPr>
                <w:rFonts w:ascii="Times New Roman" w:eastAsia="Times New Roman" w:hAnsi="Times New Roman"/>
                <w:lang w:eastAsia="hu-HU"/>
              </w:rPr>
              <w:t>1</w:t>
            </w:r>
            <w:r>
              <w:rPr>
                <w:rFonts w:ascii="Times New Roman" w:eastAsia="Times New Roman" w:hAnsi="Times New Roman"/>
                <w:lang w:eastAsia="hu-HU"/>
              </w:rPr>
              <w:t>0</w:t>
            </w:r>
          </w:p>
        </w:tc>
      </w:tr>
      <w:tr w:rsidR="00606F27" w:rsidRPr="00D9097D" w:rsidTr="00514AAB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CD" w:rsidRPr="00EF75CD" w:rsidRDefault="00EF75CD" w:rsidP="00EF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u-HU"/>
              </w:rPr>
            </w:pPr>
            <w:r w:rsidRPr="00EF75CD">
              <w:rPr>
                <w:rFonts w:ascii="Times New Roman" w:eastAsia="Times New Roman" w:hAnsi="Times New Roman"/>
                <w:sz w:val="20"/>
                <w:szCs w:val="20"/>
                <w:lang w:val="en-GB" w:eastAsia="hu-HU"/>
              </w:rPr>
              <w:t xml:space="preserve">Data collection and document analysis. Analysis of the sampled municipalities </w:t>
            </w:r>
          </w:p>
          <w:p w:rsidR="00606F27" w:rsidRPr="00EF75CD" w:rsidRDefault="00EF75CD" w:rsidP="00EF7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u-HU"/>
              </w:rPr>
            </w:pPr>
            <w:r w:rsidRPr="00EF75CD">
              <w:rPr>
                <w:rFonts w:ascii="Times New Roman" w:eastAsia="Times New Roman" w:hAnsi="Times New Roman"/>
                <w:sz w:val="20"/>
                <w:szCs w:val="20"/>
                <w:lang w:val="en-GB" w:eastAsia="hu-HU"/>
              </w:rPr>
              <w:t>( rules, internal regulations for institutions and organizations)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606F27" w:rsidRPr="00D9097D" w:rsidTr="00514AAB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27" w:rsidRPr="00EF75CD" w:rsidRDefault="00EF75CD" w:rsidP="00EF75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u-HU"/>
              </w:rPr>
              <w:t xml:space="preserve">Case studies. </w:t>
            </w:r>
            <w:r w:rsidRPr="00EF75CD">
              <w:rPr>
                <w:rFonts w:ascii="Times New Roman" w:eastAsia="Times New Roman" w:hAnsi="Times New Roman"/>
                <w:sz w:val="20"/>
                <w:szCs w:val="20"/>
                <w:lang w:val="en-GB" w:eastAsia="hu-HU"/>
              </w:rPr>
              <w:t>20 in-depth interviews and participant observation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hu-HU"/>
              </w:rPr>
              <w:t xml:space="preserve"> in the </w:t>
            </w:r>
            <w:r w:rsidRPr="00EF75CD">
              <w:rPr>
                <w:rFonts w:ascii="Times New Roman" w:eastAsia="Times New Roman" w:hAnsi="Times New Roman"/>
                <w:sz w:val="20"/>
                <w:szCs w:val="20"/>
                <w:lang w:val="en-GB" w:eastAsia="hu-HU"/>
              </w:rPr>
              <w:t>chosen eight municipalities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606F27" w:rsidRPr="00D9097D" w:rsidTr="00514AAB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27" w:rsidRPr="00EF75CD" w:rsidRDefault="00EF75CD" w:rsidP="00EF75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u-HU"/>
              </w:rPr>
              <w:t>Focus group interview with</w:t>
            </w:r>
            <w:r w:rsidRPr="00EF75CD">
              <w:rPr>
                <w:rFonts w:ascii="Times New Roman" w:eastAsia="Times New Roman" w:hAnsi="Times New Roman"/>
                <w:sz w:val="20"/>
                <w:szCs w:val="20"/>
                <w:lang w:val="en-GB" w:eastAsia="hu-HU"/>
              </w:rPr>
              <w:t xml:space="preserve"> young people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hu-HU"/>
              </w:rPr>
              <w:t xml:space="preserve">members of participatory </w:t>
            </w:r>
            <w:r w:rsidRPr="00EF75CD">
              <w:rPr>
                <w:rFonts w:ascii="Times New Roman" w:eastAsia="Times New Roman" w:hAnsi="Times New Roman"/>
                <w:sz w:val="20"/>
                <w:szCs w:val="20"/>
                <w:lang w:val="en-GB" w:eastAsia="hu-HU"/>
              </w:rPr>
              <w:t xml:space="preserve"> institutions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hu-HU"/>
              </w:rPr>
              <w:t xml:space="preserve"> of </w:t>
            </w:r>
            <w:r w:rsidRPr="00EF75CD">
              <w:rPr>
                <w:rFonts w:ascii="Times New Roman" w:eastAsia="Times New Roman" w:hAnsi="Times New Roman"/>
                <w:sz w:val="20"/>
                <w:szCs w:val="20"/>
                <w:lang w:val="en-GB" w:eastAsia="hu-HU"/>
              </w:rPr>
              <w:t>the sampled municipalities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hu-HU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606F27" w:rsidRPr="00D9097D" w:rsidTr="00514AAB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27" w:rsidRPr="00EF75CD" w:rsidRDefault="00EF75CD" w:rsidP="00514AA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u-HU"/>
              </w:rPr>
              <w:t>Monitoring of the results, data processing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606F27" w:rsidRPr="00D9097D" w:rsidTr="00514AAB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27" w:rsidRPr="00EF75CD" w:rsidRDefault="00EF75CD" w:rsidP="00EF75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u-HU"/>
              </w:rPr>
              <w:t>Period of writing the study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606F27" w:rsidRPr="00D9097D" w:rsidTr="00514AAB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27" w:rsidRPr="00EF75CD" w:rsidRDefault="003D3CBB" w:rsidP="00EF75C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hu-HU"/>
              </w:rPr>
              <w:t>Dissemin</w:t>
            </w:r>
            <w:r w:rsidR="00EF75CD">
              <w:rPr>
                <w:rFonts w:ascii="Times New Roman" w:eastAsia="Times New Roman" w:hAnsi="Times New Roman"/>
                <w:sz w:val="20"/>
                <w:szCs w:val="20"/>
                <w:lang w:val="en-GB" w:eastAsia="hu-HU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hu-HU"/>
              </w:rPr>
              <w:t>t</w:t>
            </w:r>
            <w:r w:rsidR="00EF75CD">
              <w:rPr>
                <w:rFonts w:ascii="Times New Roman" w:eastAsia="Times New Roman" w:hAnsi="Times New Roman"/>
                <w:sz w:val="20"/>
                <w:szCs w:val="20"/>
                <w:lang w:val="en-GB" w:eastAsia="hu-HU"/>
              </w:rPr>
              <w:t>ion of the results, participation at national and  international conferences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06F27" w:rsidRPr="00C559F3" w:rsidRDefault="00606F27" w:rsidP="00514AA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</w:tr>
    </w:tbl>
    <w:p w:rsidR="00606F27" w:rsidRPr="00C559F3" w:rsidRDefault="00792497" w:rsidP="00606F27">
      <w:pPr>
        <w:spacing w:after="0" w:line="240" w:lineRule="auto"/>
        <w:ind w:left="720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Figure</w:t>
      </w:r>
      <w:proofErr w:type="spellEnd"/>
      <w:r>
        <w:rPr>
          <w:rFonts w:ascii="Times New Roman" w:hAnsi="Times New Roman"/>
          <w:b/>
        </w:rPr>
        <w:t xml:space="preserve"> 1 The </w:t>
      </w:r>
      <w:proofErr w:type="spellStart"/>
      <w:r>
        <w:rPr>
          <w:rFonts w:ascii="Times New Roman" w:hAnsi="Times New Roman"/>
          <w:b/>
        </w:rPr>
        <w:t>Ga</w:t>
      </w:r>
      <w:r w:rsidR="00606F27" w:rsidRPr="00C559F3">
        <w:rPr>
          <w:rFonts w:ascii="Times New Roman" w:hAnsi="Times New Roman"/>
          <w:b/>
        </w:rPr>
        <w:t>ntt</w:t>
      </w:r>
      <w:proofErr w:type="spellEnd"/>
      <w:r w:rsidR="00606F27" w:rsidRPr="00C559F3">
        <w:rPr>
          <w:rFonts w:ascii="Times New Roman" w:hAnsi="Times New Roman"/>
          <w:b/>
        </w:rPr>
        <w:t xml:space="preserve"> diagram</w:t>
      </w:r>
      <w:r>
        <w:rPr>
          <w:rFonts w:ascii="Times New Roman" w:hAnsi="Times New Roman"/>
          <w:b/>
        </w:rPr>
        <w:t xml:space="preserve"> of </w:t>
      </w:r>
      <w:proofErr w:type="spellStart"/>
      <w:r>
        <w:rPr>
          <w:rFonts w:ascii="Times New Roman" w:hAnsi="Times New Roman"/>
          <w:b/>
        </w:rPr>
        <w:t>the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research</w:t>
      </w:r>
      <w:proofErr w:type="spellEnd"/>
    </w:p>
    <w:p w:rsidR="00606F27" w:rsidRPr="000208CE" w:rsidRDefault="001E2D05" w:rsidP="00606F27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Bibliography</w:t>
      </w:r>
      <w:proofErr w:type="spellEnd"/>
      <w:r w:rsidR="00606F27" w:rsidRPr="000208CE">
        <w:rPr>
          <w:rFonts w:ascii="Times New Roman" w:hAnsi="Times New Roman"/>
          <w:b/>
          <w:sz w:val="24"/>
          <w:szCs w:val="24"/>
        </w:rPr>
        <w:t>:</w:t>
      </w:r>
    </w:p>
    <w:p w:rsidR="00606F27" w:rsidRPr="001E2D05" w:rsidRDefault="00606F27" w:rsidP="00AD5103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1E2D05">
        <w:rPr>
          <w:rFonts w:ascii="Times New Roman" w:hAnsi="Times New Roman"/>
          <w:smallCaps/>
          <w:sz w:val="24"/>
          <w:szCs w:val="24"/>
          <w:lang w:val="en-GB"/>
        </w:rPr>
        <w:t>Denstad</w:t>
      </w:r>
      <w:proofErr w:type="spellEnd"/>
      <w:r w:rsidRPr="001E2D05">
        <w:rPr>
          <w:rFonts w:ascii="Times New Roman" w:hAnsi="Times New Roman"/>
          <w:smallCaps/>
          <w:sz w:val="24"/>
          <w:szCs w:val="24"/>
          <w:lang w:val="en-GB"/>
        </w:rPr>
        <w:t xml:space="preserve"> </w:t>
      </w:r>
      <w:r w:rsidRPr="001E2D05">
        <w:rPr>
          <w:rFonts w:ascii="Times New Roman" w:hAnsi="Times New Roman"/>
          <w:sz w:val="24"/>
          <w:szCs w:val="24"/>
          <w:lang w:val="en-GB"/>
        </w:rPr>
        <w:t xml:space="preserve">F.Y. [2009]: Youth Policy Manual; How to develop a national youth strategy Council of Europe Publishing, </w:t>
      </w:r>
      <w:proofErr w:type="spellStart"/>
      <w:r w:rsidRPr="001E2D05">
        <w:rPr>
          <w:rFonts w:ascii="Times New Roman" w:hAnsi="Times New Roman"/>
          <w:sz w:val="24"/>
          <w:szCs w:val="24"/>
          <w:lang w:val="en-GB"/>
        </w:rPr>
        <w:t>Strassbourg</w:t>
      </w:r>
      <w:proofErr w:type="spellEnd"/>
      <w:r w:rsidRPr="001E2D05">
        <w:rPr>
          <w:rFonts w:ascii="Times New Roman" w:hAnsi="Times New Roman"/>
          <w:sz w:val="24"/>
          <w:szCs w:val="24"/>
          <w:lang w:val="en-GB"/>
        </w:rPr>
        <w:t>.</w:t>
      </w:r>
    </w:p>
    <w:p w:rsidR="00606F27" w:rsidRPr="001E2D05" w:rsidRDefault="00606F27" w:rsidP="00AD5103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1E2D05">
        <w:rPr>
          <w:rFonts w:ascii="Times New Roman" w:hAnsi="Times New Roman"/>
          <w:bCs/>
          <w:smallCaps/>
          <w:sz w:val="24"/>
          <w:szCs w:val="24"/>
          <w:lang w:val="en-GB"/>
        </w:rPr>
        <w:t>Falkner</w:t>
      </w:r>
      <w:r w:rsidRPr="001E2D05">
        <w:rPr>
          <w:rFonts w:ascii="Times New Roman" w:hAnsi="Times New Roman"/>
          <w:bCs/>
          <w:sz w:val="24"/>
          <w:szCs w:val="24"/>
          <w:lang w:val="en-GB"/>
        </w:rPr>
        <w:t xml:space="preserve"> G. and </w:t>
      </w:r>
      <w:proofErr w:type="spellStart"/>
      <w:r w:rsidRPr="001E2D05">
        <w:rPr>
          <w:rFonts w:ascii="Times New Roman" w:hAnsi="Times New Roman"/>
          <w:bCs/>
          <w:smallCaps/>
          <w:sz w:val="24"/>
          <w:szCs w:val="24"/>
          <w:lang w:val="en-GB"/>
        </w:rPr>
        <w:t>Treib</w:t>
      </w:r>
      <w:proofErr w:type="spellEnd"/>
      <w:r w:rsidRPr="001E2D05">
        <w:rPr>
          <w:rFonts w:ascii="Times New Roman" w:hAnsi="Times New Roman"/>
          <w:bCs/>
          <w:sz w:val="24"/>
          <w:szCs w:val="24"/>
          <w:lang w:val="en-GB"/>
        </w:rPr>
        <w:t xml:space="preserve">, O. </w:t>
      </w:r>
      <w:r w:rsidRPr="001E2D05">
        <w:rPr>
          <w:rFonts w:ascii="Times New Roman" w:hAnsi="Times New Roman"/>
          <w:sz w:val="24"/>
          <w:szCs w:val="24"/>
          <w:lang w:val="en-GB"/>
        </w:rPr>
        <w:t xml:space="preserve">[2007]: </w:t>
      </w:r>
      <w:r w:rsidRPr="001E2D05">
        <w:rPr>
          <w:rFonts w:ascii="Times New Roman" w:hAnsi="Times New Roman"/>
          <w:bCs/>
          <w:sz w:val="24"/>
          <w:szCs w:val="24"/>
          <w:lang w:val="en-GB"/>
        </w:rPr>
        <w:t xml:space="preserve">Three Worlds of Compliance or Four? </w:t>
      </w:r>
      <w:r w:rsidRPr="001E2D05">
        <w:rPr>
          <w:rFonts w:ascii="Times New Roman" w:hAnsi="Times New Roman"/>
          <w:sz w:val="24"/>
          <w:szCs w:val="24"/>
          <w:lang w:val="en-GB"/>
        </w:rPr>
        <w:t xml:space="preserve">The EU15 Compared to New Member States, </w:t>
      </w:r>
      <w:r w:rsidRPr="001E2D05">
        <w:rPr>
          <w:rFonts w:ascii="Times New Roman" w:hAnsi="Times New Roman"/>
          <w:bCs/>
          <w:i/>
          <w:sz w:val="24"/>
          <w:szCs w:val="24"/>
          <w:lang w:val="en-GB"/>
        </w:rPr>
        <w:t>Political Science Series</w:t>
      </w:r>
      <w:r w:rsidRPr="001E2D05">
        <w:rPr>
          <w:rFonts w:ascii="Times New Roman" w:hAnsi="Times New Roman"/>
          <w:bCs/>
          <w:sz w:val="24"/>
          <w:szCs w:val="24"/>
          <w:lang w:val="en-GB"/>
        </w:rPr>
        <w:t>, Institute for Advanced Studies, Vienna</w:t>
      </w:r>
    </w:p>
    <w:p w:rsidR="00606F27" w:rsidRPr="001E2D05" w:rsidRDefault="00606F27" w:rsidP="00AD5103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1E2D05">
        <w:rPr>
          <w:rFonts w:ascii="Times New Roman" w:hAnsi="Times New Roman"/>
          <w:smallCaps/>
          <w:sz w:val="24"/>
          <w:szCs w:val="24"/>
          <w:lang w:val="en-GB"/>
        </w:rPr>
        <w:t>Forbrig</w:t>
      </w:r>
      <w:proofErr w:type="spellEnd"/>
      <w:r w:rsidRPr="001E2D05">
        <w:rPr>
          <w:rFonts w:ascii="Times New Roman" w:hAnsi="Times New Roman"/>
          <w:sz w:val="24"/>
          <w:szCs w:val="24"/>
          <w:lang w:val="en-GB"/>
        </w:rPr>
        <w:t>, J. [2005]:</w:t>
      </w:r>
      <w:r w:rsidRPr="001E2D05">
        <w:rPr>
          <w:rFonts w:ascii="Times New Roman" w:hAnsi="Times New Roman"/>
          <w:i/>
          <w:sz w:val="24"/>
          <w:szCs w:val="24"/>
          <w:lang w:val="en-GB"/>
        </w:rPr>
        <w:t xml:space="preserve"> Revisiting youth political participation, Challenges for research and democratic practice in Europe.</w:t>
      </w:r>
      <w:r w:rsidRPr="001E2D05">
        <w:rPr>
          <w:rFonts w:ascii="Times New Roman" w:hAnsi="Times New Roman"/>
          <w:sz w:val="24"/>
          <w:szCs w:val="24"/>
          <w:lang w:val="en-GB"/>
        </w:rPr>
        <w:t xml:space="preserve"> Council of Europe Publishing</w:t>
      </w:r>
    </w:p>
    <w:p w:rsidR="00606F27" w:rsidRDefault="00606F27" w:rsidP="00AD510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eta-Normal--Identity-H" w:hAnsi="Times New Roman"/>
          <w:sz w:val="24"/>
          <w:szCs w:val="24"/>
          <w:lang w:val="en-GB"/>
        </w:rPr>
      </w:pPr>
      <w:proofErr w:type="spellStart"/>
      <w:r w:rsidRPr="001E2D05">
        <w:rPr>
          <w:rFonts w:ascii="Times New Roman" w:eastAsia="Meta-Normal--Identity-H" w:hAnsi="Times New Roman"/>
          <w:smallCaps/>
          <w:sz w:val="24"/>
          <w:szCs w:val="24"/>
          <w:lang w:val="en-GB"/>
        </w:rPr>
        <w:t>Kovacheva</w:t>
      </w:r>
      <w:proofErr w:type="spellEnd"/>
      <w:r w:rsidRPr="001E2D05">
        <w:rPr>
          <w:rFonts w:ascii="Times New Roman" w:eastAsia="Meta-Normal--Identity-H" w:hAnsi="Times New Roman"/>
          <w:sz w:val="24"/>
          <w:szCs w:val="24"/>
          <w:lang w:val="en-GB"/>
        </w:rPr>
        <w:t xml:space="preserve">, S. </w:t>
      </w:r>
      <w:r w:rsidR="001E2D05" w:rsidRPr="001E2D05">
        <w:rPr>
          <w:rFonts w:ascii="Times New Roman" w:hAnsi="Times New Roman"/>
          <w:sz w:val="24"/>
          <w:szCs w:val="24"/>
          <w:lang w:val="en-GB"/>
        </w:rPr>
        <w:t>[2000]:</w:t>
      </w:r>
      <w:r w:rsidRPr="001E2D05">
        <w:rPr>
          <w:rFonts w:ascii="Times New Roman" w:eastAsia="Meta-Normal--Identity-H" w:hAnsi="Times New Roman"/>
          <w:sz w:val="24"/>
          <w:szCs w:val="24"/>
          <w:lang w:val="en-GB"/>
        </w:rPr>
        <w:t xml:space="preserve"> </w:t>
      </w:r>
      <w:r w:rsidRPr="001E2D05">
        <w:rPr>
          <w:rFonts w:ascii="Times New Roman" w:eastAsia="MetaNormal-Italic--Identity-H" w:hAnsi="Times New Roman"/>
          <w:i/>
          <w:iCs/>
          <w:sz w:val="24"/>
          <w:szCs w:val="24"/>
          <w:lang w:val="en-GB"/>
        </w:rPr>
        <w:t xml:space="preserve">Keys to Youth Participation in Eastern Europe </w:t>
      </w:r>
      <w:r w:rsidRPr="001E2D05">
        <w:rPr>
          <w:rFonts w:ascii="Times New Roman" w:eastAsia="Meta-Normal--Identity-H" w:hAnsi="Times New Roman"/>
          <w:sz w:val="24"/>
          <w:szCs w:val="24"/>
          <w:lang w:val="en-GB"/>
        </w:rPr>
        <w:t>(Strasbourg: Council of Europe).</w:t>
      </w:r>
    </w:p>
    <w:p w:rsidR="001F3BBD" w:rsidRPr="001E2D05" w:rsidRDefault="001F3BBD" w:rsidP="00AD510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eta-Normal--Identity-H" w:hAnsi="Times New Roman"/>
          <w:sz w:val="24"/>
          <w:szCs w:val="24"/>
          <w:lang w:val="en-GB"/>
        </w:rPr>
      </w:pPr>
      <w:proofErr w:type="spellStart"/>
      <w:r w:rsidRPr="001F3BBD">
        <w:rPr>
          <w:rFonts w:ascii="Times New Roman" w:hAnsi="Times New Roman"/>
          <w:smallCaps/>
          <w:sz w:val="24"/>
          <w:szCs w:val="24"/>
        </w:rPr>
        <w:t>Kovacheva</w:t>
      </w:r>
      <w:proofErr w:type="spellEnd"/>
      <w:r w:rsidRPr="002927A1">
        <w:rPr>
          <w:rFonts w:ascii="Times New Roman" w:hAnsi="Times New Roman"/>
          <w:sz w:val="24"/>
          <w:szCs w:val="24"/>
        </w:rPr>
        <w:t>, S</w:t>
      </w:r>
      <w:r>
        <w:rPr>
          <w:rFonts w:ascii="Times New Roman" w:hAnsi="Times New Roman"/>
          <w:sz w:val="24"/>
          <w:szCs w:val="24"/>
        </w:rPr>
        <w:t>.</w:t>
      </w:r>
      <w:r w:rsidRPr="002927A1">
        <w:rPr>
          <w:rFonts w:ascii="Times New Roman" w:hAnsi="Times New Roman"/>
          <w:sz w:val="24"/>
          <w:szCs w:val="24"/>
        </w:rPr>
        <w:t xml:space="preserve"> [2005]:</w:t>
      </w:r>
      <w:r w:rsidRPr="002927A1">
        <w:rPr>
          <w:rStyle w:val="Kiemels2"/>
          <w:rFonts w:ascii="Times New Roman" w:hAnsi="Times New Roman"/>
          <w:sz w:val="24"/>
          <w:szCs w:val="24"/>
        </w:rPr>
        <w:t xml:space="preserve"> </w:t>
      </w:r>
      <w:proofErr w:type="spellStart"/>
      <w:r w:rsidRPr="002927A1">
        <w:rPr>
          <w:rStyle w:val="Kiemels2"/>
          <w:rFonts w:ascii="Times New Roman" w:hAnsi="Times New Roman"/>
          <w:b w:val="0"/>
          <w:sz w:val="24"/>
          <w:szCs w:val="24"/>
        </w:rPr>
        <w:t>Will</w:t>
      </w:r>
      <w:proofErr w:type="spellEnd"/>
      <w:r w:rsidRPr="002927A1">
        <w:rPr>
          <w:rStyle w:val="Kiemels2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927A1">
        <w:rPr>
          <w:rStyle w:val="Kiemels2"/>
          <w:rFonts w:ascii="Times New Roman" w:hAnsi="Times New Roman"/>
          <w:b w:val="0"/>
          <w:sz w:val="24"/>
          <w:szCs w:val="24"/>
        </w:rPr>
        <w:t>youth</w:t>
      </w:r>
      <w:proofErr w:type="spellEnd"/>
      <w:r w:rsidRPr="002927A1">
        <w:rPr>
          <w:rStyle w:val="Kiemels2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927A1">
        <w:rPr>
          <w:rStyle w:val="Kiemels2"/>
          <w:rFonts w:ascii="Times New Roman" w:hAnsi="Times New Roman"/>
          <w:b w:val="0"/>
          <w:sz w:val="24"/>
          <w:szCs w:val="24"/>
        </w:rPr>
        <w:t>rejuvenate</w:t>
      </w:r>
      <w:proofErr w:type="spellEnd"/>
      <w:r w:rsidRPr="002927A1">
        <w:rPr>
          <w:rStyle w:val="Kiemels2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927A1">
        <w:rPr>
          <w:rStyle w:val="Kiemels2"/>
          <w:rFonts w:ascii="Times New Roman" w:hAnsi="Times New Roman"/>
          <w:b w:val="0"/>
          <w:sz w:val="24"/>
          <w:szCs w:val="24"/>
        </w:rPr>
        <w:t>the</w:t>
      </w:r>
      <w:proofErr w:type="spellEnd"/>
      <w:r w:rsidRPr="002927A1">
        <w:rPr>
          <w:rStyle w:val="Kiemels2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927A1">
        <w:rPr>
          <w:rStyle w:val="Kiemels2"/>
          <w:rFonts w:ascii="Times New Roman" w:hAnsi="Times New Roman"/>
          <w:b w:val="0"/>
          <w:sz w:val="24"/>
          <w:szCs w:val="24"/>
        </w:rPr>
        <w:t>patterns</w:t>
      </w:r>
      <w:proofErr w:type="spellEnd"/>
      <w:r w:rsidRPr="002927A1">
        <w:rPr>
          <w:rStyle w:val="Kiemels2"/>
          <w:rFonts w:ascii="Times New Roman" w:hAnsi="Times New Roman"/>
          <w:b w:val="0"/>
          <w:sz w:val="24"/>
          <w:szCs w:val="24"/>
        </w:rPr>
        <w:t xml:space="preserve"> of </w:t>
      </w:r>
      <w:proofErr w:type="spellStart"/>
      <w:r w:rsidRPr="002927A1">
        <w:rPr>
          <w:rStyle w:val="Kiemels2"/>
          <w:rFonts w:ascii="Times New Roman" w:hAnsi="Times New Roman"/>
          <w:b w:val="0"/>
          <w:sz w:val="24"/>
          <w:szCs w:val="24"/>
        </w:rPr>
        <w:t>political</w:t>
      </w:r>
      <w:proofErr w:type="spellEnd"/>
      <w:r w:rsidRPr="002927A1">
        <w:rPr>
          <w:rStyle w:val="Kiemels2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2927A1">
        <w:rPr>
          <w:rStyle w:val="Kiemels2"/>
          <w:rFonts w:ascii="Times New Roman" w:hAnsi="Times New Roman"/>
          <w:b w:val="0"/>
          <w:sz w:val="24"/>
          <w:szCs w:val="24"/>
        </w:rPr>
        <w:t>participation</w:t>
      </w:r>
      <w:proofErr w:type="spellEnd"/>
      <w:r w:rsidRPr="002927A1">
        <w:rPr>
          <w:rStyle w:val="Kiemels2"/>
          <w:rFonts w:ascii="Times New Roman" w:hAnsi="Times New Roman"/>
          <w:b w:val="0"/>
          <w:sz w:val="24"/>
          <w:szCs w:val="24"/>
        </w:rPr>
        <w:t>?</w:t>
      </w:r>
      <w:r w:rsidRPr="00292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A1">
        <w:rPr>
          <w:rFonts w:ascii="Times New Roman" w:hAnsi="Times New Roman"/>
          <w:sz w:val="24"/>
          <w:szCs w:val="24"/>
        </w:rPr>
        <w:t>In</w:t>
      </w:r>
      <w:proofErr w:type="spellEnd"/>
      <w:r w:rsidRPr="002927A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927A1">
        <w:rPr>
          <w:rFonts w:ascii="Times New Roman" w:hAnsi="Times New Roman"/>
          <w:sz w:val="24"/>
          <w:szCs w:val="24"/>
        </w:rPr>
        <w:t>Forbrig</w:t>
      </w:r>
      <w:proofErr w:type="spellEnd"/>
      <w:r w:rsidRPr="002927A1">
        <w:rPr>
          <w:rFonts w:ascii="Times New Roman" w:hAnsi="Times New Roman"/>
          <w:sz w:val="24"/>
          <w:szCs w:val="24"/>
        </w:rPr>
        <w:t>, J</w:t>
      </w:r>
      <w:proofErr w:type="gramStart"/>
      <w:r w:rsidRPr="002927A1">
        <w:rPr>
          <w:rFonts w:ascii="Times New Roman" w:hAnsi="Times New Roman"/>
          <w:i/>
          <w:sz w:val="24"/>
          <w:szCs w:val="24"/>
        </w:rPr>
        <w:t>.:</w:t>
      </w:r>
      <w:proofErr w:type="gramEnd"/>
      <w:r w:rsidRPr="002927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927A1">
        <w:rPr>
          <w:rFonts w:ascii="Times New Roman" w:hAnsi="Times New Roman"/>
          <w:sz w:val="24"/>
          <w:szCs w:val="24"/>
        </w:rPr>
        <w:t>Revisiting</w:t>
      </w:r>
      <w:proofErr w:type="spellEnd"/>
      <w:r w:rsidRPr="00292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A1">
        <w:rPr>
          <w:rFonts w:ascii="Times New Roman" w:hAnsi="Times New Roman"/>
          <w:sz w:val="24"/>
          <w:szCs w:val="24"/>
        </w:rPr>
        <w:t>youth</w:t>
      </w:r>
      <w:proofErr w:type="spellEnd"/>
      <w:r w:rsidRPr="00292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A1">
        <w:rPr>
          <w:rFonts w:ascii="Times New Roman" w:hAnsi="Times New Roman"/>
          <w:sz w:val="24"/>
          <w:szCs w:val="24"/>
        </w:rPr>
        <w:t>political</w:t>
      </w:r>
      <w:proofErr w:type="spellEnd"/>
      <w:r w:rsidRPr="00292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A1">
        <w:rPr>
          <w:rFonts w:ascii="Times New Roman" w:hAnsi="Times New Roman"/>
          <w:sz w:val="24"/>
          <w:szCs w:val="24"/>
        </w:rPr>
        <w:t>participation</w:t>
      </w:r>
      <w:proofErr w:type="spellEnd"/>
      <w:r w:rsidRPr="002927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27A1">
        <w:rPr>
          <w:rFonts w:ascii="Times New Roman" w:hAnsi="Times New Roman"/>
          <w:sz w:val="24"/>
          <w:szCs w:val="24"/>
        </w:rPr>
        <w:t>Challenges</w:t>
      </w:r>
      <w:proofErr w:type="spellEnd"/>
      <w:r w:rsidRPr="00292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A1">
        <w:rPr>
          <w:rFonts w:ascii="Times New Roman" w:hAnsi="Times New Roman"/>
          <w:sz w:val="24"/>
          <w:szCs w:val="24"/>
        </w:rPr>
        <w:t>for</w:t>
      </w:r>
      <w:proofErr w:type="spellEnd"/>
      <w:r w:rsidRPr="00292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A1">
        <w:rPr>
          <w:rFonts w:ascii="Times New Roman" w:hAnsi="Times New Roman"/>
          <w:sz w:val="24"/>
          <w:szCs w:val="24"/>
        </w:rPr>
        <w:t>research</w:t>
      </w:r>
      <w:proofErr w:type="spellEnd"/>
      <w:r w:rsidRPr="002927A1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2927A1">
        <w:rPr>
          <w:rFonts w:ascii="Times New Roman" w:hAnsi="Times New Roman"/>
          <w:sz w:val="24"/>
          <w:szCs w:val="24"/>
        </w:rPr>
        <w:t>democratic</w:t>
      </w:r>
      <w:proofErr w:type="spellEnd"/>
      <w:r w:rsidRPr="00292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A1">
        <w:rPr>
          <w:rFonts w:ascii="Times New Roman" w:hAnsi="Times New Roman"/>
          <w:sz w:val="24"/>
          <w:szCs w:val="24"/>
        </w:rPr>
        <w:t>practice</w:t>
      </w:r>
      <w:proofErr w:type="spellEnd"/>
      <w:r w:rsidRPr="00292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A1">
        <w:rPr>
          <w:rFonts w:ascii="Times New Roman" w:hAnsi="Times New Roman"/>
          <w:sz w:val="24"/>
          <w:szCs w:val="24"/>
        </w:rPr>
        <w:t>in</w:t>
      </w:r>
      <w:proofErr w:type="spellEnd"/>
      <w:r w:rsidRPr="002927A1">
        <w:rPr>
          <w:rFonts w:ascii="Times New Roman" w:hAnsi="Times New Roman"/>
          <w:sz w:val="24"/>
          <w:szCs w:val="24"/>
        </w:rPr>
        <w:t xml:space="preserve"> Europe</w:t>
      </w:r>
      <w:r w:rsidRPr="002927A1">
        <w:rPr>
          <w:rFonts w:ascii="Times New Roman" w:hAnsi="Times New Roman"/>
          <w:i/>
          <w:sz w:val="24"/>
          <w:szCs w:val="24"/>
        </w:rPr>
        <w:t>.</w:t>
      </w:r>
      <w:r w:rsidRPr="002927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27A1">
        <w:rPr>
          <w:rFonts w:ascii="Times New Roman" w:hAnsi="Times New Roman"/>
          <w:sz w:val="24"/>
          <w:szCs w:val="24"/>
        </w:rPr>
        <w:t>Council</w:t>
      </w:r>
      <w:proofErr w:type="spellEnd"/>
      <w:r w:rsidRPr="002927A1">
        <w:rPr>
          <w:rFonts w:ascii="Times New Roman" w:hAnsi="Times New Roman"/>
          <w:sz w:val="24"/>
          <w:szCs w:val="24"/>
        </w:rPr>
        <w:t xml:space="preserve"> of Europe Publishing</w:t>
      </w:r>
    </w:p>
    <w:p w:rsidR="00606F27" w:rsidRPr="001E2D05" w:rsidRDefault="001E2D05" w:rsidP="00AD5103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E2D05">
        <w:rPr>
          <w:rFonts w:ascii="Times New Roman" w:hAnsi="Times New Roman"/>
          <w:smallCaps/>
          <w:sz w:val="24"/>
          <w:szCs w:val="24"/>
          <w:lang w:val="en-GB"/>
        </w:rPr>
        <w:t>Mill</w:t>
      </w:r>
      <w:r>
        <w:rPr>
          <w:rFonts w:ascii="Times New Roman" w:hAnsi="Times New Roman"/>
          <w:sz w:val="24"/>
          <w:szCs w:val="24"/>
          <w:lang w:val="en-GB"/>
        </w:rPr>
        <w:t>, J. S.</w:t>
      </w:r>
      <w:r w:rsidR="00606F27" w:rsidRPr="001E2D05">
        <w:rPr>
          <w:rFonts w:ascii="Times New Roman" w:hAnsi="Times New Roman"/>
          <w:sz w:val="24"/>
          <w:szCs w:val="24"/>
          <w:lang w:val="en-GB"/>
        </w:rPr>
        <w:t xml:space="preserve"> [2001]: On Liberty (first published in 1859). Kitchener: </w:t>
      </w:r>
      <w:proofErr w:type="spellStart"/>
      <w:r w:rsidR="00606F27" w:rsidRPr="001E2D05">
        <w:rPr>
          <w:rFonts w:ascii="Times New Roman" w:hAnsi="Times New Roman"/>
          <w:sz w:val="24"/>
          <w:szCs w:val="24"/>
          <w:lang w:val="en-GB"/>
        </w:rPr>
        <w:t>Batoche</w:t>
      </w:r>
      <w:proofErr w:type="spellEnd"/>
      <w:r w:rsidR="00606F27" w:rsidRPr="001E2D05">
        <w:rPr>
          <w:rFonts w:ascii="Times New Roman" w:hAnsi="Times New Roman"/>
          <w:sz w:val="24"/>
          <w:szCs w:val="24"/>
          <w:lang w:val="en-GB"/>
        </w:rPr>
        <w:t xml:space="preserve"> Books.</w:t>
      </w:r>
    </w:p>
    <w:p w:rsidR="00606F27" w:rsidRPr="001E2D05" w:rsidRDefault="00606F27" w:rsidP="00AD5103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1E2D05">
        <w:rPr>
          <w:rFonts w:ascii="Times New Roman" w:hAnsi="Times New Roman"/>
          <w:smallCaps/>
          <w:sz w:val="24"/>
          <w:szCs w:val="24"/>
          <w:lang w:val="en-GB"/>
        </w:rPr>
        <w:t xml:space="preserve">Olsen </w:t>
      </w:r>
      <w:r w:rsidRPr="001E2D05">
        <w:rPr>
          <w:rFonts w:ascii="Times New Roman" w:hAnsi="Times New Roman"/>
          <w:sz w:val="24"/>
          <w:szCs w:val="24"/>
          <w:lang w:val="en-GB"/>
        </w:rPr>
        <w:t xml:space="preserve">J. P. [2002]: The many faces of Europeanization. </w:t>
      </w:r>
      <w:proofErr w:type="gramStart"/>
      <w:r w:rsidRPr="001E2D05">
        <w:rPr>
          <w:rFonts w:ascii="Times New Roman" w:hAnsi="Times New Roman"/>
          <w:i/>
          <w:sz w:val="24"/>
          <w:szCs w:val="24"/>
          <w:lang w:val="en-GB"/>
        </w:rPr>
        <w:t>Journal of Common Market Studies, 40(5) 921-52.</w:t>
      </w:r>
      <w:proofErr w:type="gramEnd"/>
    </w:p>
    <w:p w:rsidR="00606F27" w:rsidRPr="001E2D05" w:rsidRDefault="00606F27" w:rsidP="00AD5103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proofErr w:type="gramStart"/>
      <w:r w:rsidRPr="001E2D05">
        <w:rPr>
          <w:rFonts w:ascii="Times New Roman" w:hAnsi="Times New Roman"/>
          <w:smallCaps/>
          <w:sz w:val="24"/>
          <w:szCs w:val="24"/>
          <w:lang w:val="en-GB"/>
        </w:rPr>
        <w:t>Radaelli</w:t>
      </w:r>
      <w:proofErr w:type="spellEnd"/>
      <w:r w:rsidR="001E2D05">
        <w:rPr>
          <w:rFonts w:ascii="Times New Roman" w:hAnsi="Times New Roman"/>
          <w:sz w:val="24"/>
          <w:szCs w:val="24"/>
          <w:lang w:val="en-GB"/>
        </w:rPr>
        <w:t>, C.</w:t>
      </w:r>
      <w:r w:rsidRPr="001E2D05">
        <w:rPr>
          <w:rFonts w:ascii="Times New Roman" w:hAnsi="Times New Roman"/>
          <w:sz w:val="24"/>
          <w:szCs w:val="24"/>
          <w:lang w:val="en-GB"/>
        </w:rPr>
        <w:t xml:space="preserve"> M. and </w:t>
      </w:r>
      <w:proofErr w:type="spellStart"/>
      <w:r w:rsidRPr="001E2D05">
        <w:rPr>
          <w:rFonts w:ascii="Times New Roman" w:hAnsi="Times New Roman"/>
          <w:smallCaps/>
          <w:sz w:val="24"/>
          <w:szCs w:val="24"/>
          <w:lang w:val="en-GB"/>
        </w:rPr>
        <w:t>Pasquier</w:t>
      </w:r>
      <w:proofErr w:type="spellEnd"/>
      <w:r w:rsidR="001E2D05">
        <w:rPr>
          <w:rFonts w:ascii="Times New Roman" w:hAnsi="Times New Roman"/>
          <w:sz w:val="24"/>
          <w:szCs w:val="24"/>
          <w:lang w:val="en-GB"/>
        </w:rPr>
        <w:t>, R.</w:t>
      </w:r>
      <w:r w:rsidRPr="001E2D05">
        <w:rPr>
          <w:rFonts w:ascii="Times New Roman" w:hAnsi="Times New Roman"/>
          <w:sz w:val="24"/>
          <w:szCs w:val="24"/>
          <w:lang w:val="en-GB"/>
        </w:rPr>
        <w:t xml:space="preserve"> (2008).</w:t>
      </w:r>
      <w:proofErr w:type="gramEnd"/>
      <w:r w:rsidRPr="001E2D0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Pr="001E2D05">
        <w:rPr>
          <w:rFonts w:ascii="Times New Roman" w:hAnsi="Times New Roman"/>
          <w:sz w:val="24"/>
          <w:szCs w:val="24"/>
          <w:lang w:val="en-GB"/>
        </w:rPr>
        <w:t>“Conceptual Issues”.</w:t>
      </w:r>
      <w:proofErr w:type="gramEnd"/>
      <w:r w:rsidRPr="001E2D05">
        <w:rPr>
          <w:rFonts w:ascii="Times New Roman" w:hAnsi="Times New Roman"/>
          <w:sz w:val="24"/>
          <w:szCs w:val="24"/>
          <w:lang w:val="en-GB"/>
        </w:rPr>
        <w:t xml:space="preserve"> In: </w:t>
      </w:r>
      <w:proofErr w:type="spellStart"/>
      <w:r w:rsidRPr="001E2D05">
        <w:rPr>
          <w:rFonts w:ascii="Times New Roman" w:hAnsi="Times New Roman"/>
          <w:sz w:val="24"/>
          <w:szCs w:val="24"/>
          <w:lang w:val="en-GB"/>
        </w:rPr>
        <w:t>Vink</w:t>
      </w:r>
      <w:proofErr w:type="spellEnd"/>
      <w:r w:rsidRPr="001E2D05">
        <w:rPr>
          <w:rFonts w:ascii="Times New Roman" w:hAnsi="Times New Roman"/>
          <w:sz w:val="24"/>
          <w:szCs w:val="24"/>
          <w:lang w:val="en-GB"/>
        </w:rPr>
        <w:t xml:space="preserve">, Maarten P. and </w:t>
      </w:r>
      <w:proofErr w:type="spellStart"/>
      <w:r w:rsidRPr="001E2D05">
        <w:rPr>
          <w:rFonts w:ascii="Times New Roman" w:hAnsi="Times New Roman"/>
          <w:sz w:val="24"/>
          <w:szCs w:val="24"/>
          <w:lang w:val="en-GB"/>
        </w:rPr>
        <w:t>Graziano</w:t>
      </w:r>
      <w:proofErr w:type="spellEnd"/>
      <w:r w:rsidRPr="001E2D05">
        <w:rPr>
          <w:rFonts w:ascii="Times New Roman" w:hAnsi="Times New Roman"/>
          <w:sz w:val="24"/>
          <w:szCs w:val="24"/>
          <w:lang w:val="en-GB"/>
        </w:rPr>
        <w:t xml:space="preserve">, Paolo </w:t>
      </w:r>
      <w:r w:rsidR="001E2D05" w:rsidRPr="001E2D05">
        <w:rPr>
          <w:rFonts w:ascii="Times New Roman" w:hAnsi="Times New Roman"/>
          <w:sz w:val="24"/>
          <w:szCs w:val="24"/>
          <w:lang w:val="en-GB"/>
        </w:rPr>
        <w:t xml:space="preserve">[2008]: </w:t>
      </w:r>
      <w:proofErr w:type="gramStart"/>
      <w:r w:rsidRPr="001E2D05">
        <w:rPr>
          <w:rFonts w:ascii="Times New Roman" w:hAnsi="Times New Roman"/>
          <w:sz w:val="24"/>
          <w:szCs w:val="24"/>
          <w:lang w:val="en-GB"/>
        </w:rPr>
        <w:t>Europeanization  –</w:t>
      </w:r>
      <w:proofErr w:type="gramEnd"/>
      <w:r w:rsidRPr="001E2D05">
        <w:rPr>
          <w:rFonts w:ascii="Times New Roman" w:hAnsi="Times New Roman"/>
          <w:sz w:val="24"/>
          <w:szCs w:val="24"/>
          <w:lang w:val="en-GB"/>
        </w:rPr>
        <w:t xml:space="preserve"> New Research Agendas. Basingstoke: Palgrave Macmillan.</w:t>
      </w:r>
    </w:p>
    <w:p w:rsidR="00606F27" w:rsidRPr="001E2D05" w:rsidRDefault="00606F27" w:rsidP="00AD5103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1E2D05">
        <w:rPr>
          <w:rFonts w:ascii="Times New Roman" w:hAnsi="Times New Roman"/>
          <w:smallCaps/>
          <w:sz w:val="24"/>
          <w:szCs w:val="24"/>
          <w:lang w:val="en-GB"/>
        </w:rPr>
        <w:t>Schmitter</w:t>
      </w:r>
      <w:proofErr w:type="spellEnd"/>
      <w:r w:rsidRPr="001E2D05">
        <w:rPr>
          <w:rFonts w:ascii="Times New Roman" w:hAnsi="Times New Roman"/>
          <w:sz w:val="24"/>
          <w:szCs w:val="24"/>
          <w:lang w:val="en-GB"/>
        </w:rPr>
        <w:t>, P. C. and J.</w:t>
      </w:r>
      <w:r w:rsidRPr="001E2D05">
        <w:rPr>
          <w:rFonts w:ascii="Times New Roman" w:hAnsi="Times New Roman"/>
          <w:smallCaps/>
          <w:sz w:val="24"/>
          <w:szCs w:val="24"/>
          <w:lang w:val="en-GB"/>
        </w:rPr>
        <w:t xml:space="preserve"> </w:t>
      </w:r>
      <w:proofErr w:type="spellStart"/>
      <w:r w:rsidRPr="001E2D05">
        <w:rPr>
          <w:rFonts w:ascii="Times New Roman" w:hAnsi="Times New Roman"/>
          <w:smallCaps/>
          <w:sz w:val="24"/>
          <w:szCs w:val="24"/>
          <w:lang w:val="en-GB"/>
        </w:rPr>
        <w:t>Santiso</w:t>
      </w:r>
      <w:proofErr w:type="spellEnd"/>
      <w:r w:rsidR="001E2D05" w:rsidRPr="001E2D05">
        <w:rPr>
          <w:rFonts w:ascii="Times New Roman" w:hAnsi="Times New Roman"/>
          <w:smallCaps/>
          <w:sz w:val="24"/>
          <w:szCs w:val="24"/>
          <w:lang w:val="en-GB"/>
        </w:rPr>
        <w:t xml:space="preserve"> </w:t>
      </w:r>
      <w:r w:rsidR="001E2D05" w:rsidRPr="001E2D05">
        <w:rPr>
          <w:rFonts w:ascii="Times New Roman" w:hAnsi="Times New Roman"/>
          <w:sz w:val="24"/>
          <w:szCs w:val="24"/>
          <w:lang w:val="en-GB"/>
        </w:rPr>
        <w:t>[1998]:</w:t>
      </w:r>
      <w:r w:rsidRPr="001E2D05">
        <w:rPr>
          <w:rFonts w:ascii="Times New Roman" w:hAnsi="Times New Roman"/>
          <w:sz w:val="24"/>
          <w:szCs w:val="24"/>
          <w:lang w:val="en-GB"/>
        </w:rPr>
        <w:t>‘Three Temporal Dimensions to the Consolidation of Democracy’</w:t>
      </w:r>
      <w:proofErr w:type="gramStart"/>
      <w:r w:rsidRPr="001E2D05">
        <w:rPr>
          <w:rFonts w:ascii="Times New Roman" w:hAnsi="Times New Roman"/>
          <w:sz w:val="24"/>
          <w:szCs w:val="24"/>
          <w:lang w:val="en-GB"/>
        </w:rPr>
        <w:t>,  International</w:t>
      </w:r>
      <w:proofErr w:type="gramEnd"/>
      <w:r w:rsidRPr="001E2D05">
        <w:rPr>
          <w:rFonts w:ascii="Times New Roman" w:hAnsi="Times New Roman"/>
          <w:sz w:val="24"/>
          <w:szCs w:val="24"/>
          <w:lang w:val="en-GB"/>
        </w:rPr>
        <w:t xml:space="preserve"> Political Science Review  19 (1),  69-92</w:t>
      </w:r>
    </w:p>
    <w:p w:rsidR="001E2D05" w:rsidRPr="001E2D05" w:rsidRDefault="001E2D05" w:rsidP="00AD5103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E2D05">
        <w:rPr>
          <w:rFonts w:ascii="Times New Roman" w:hAnsi="Times New Roman"/>
          <w:smallCaps/>
          <w:sz w:val="24"/>
          <w:szCs w:val="24"/>
          <w:lang w:val="en-GB"/>
        </w:rPr>
        <w:t>Tocqueville,</w:t>
      </w:r>
      <w:r w:rsidRPr="001E2D05">
        <w:rPr>
          <w:rFonts w:ascii="Times New Roman" w:hAnsi="Times New Roman"/>
          <w:sz w:val="24"/>
          <w:szCs w:val="24"/>
          <w:lang w:val="en-GB"/>
        </w:rPr>
        <w:t xml:space="preserve"> A</w:t>
      </w:r>
      <w:proofErr w:type="gramStart"/>
      <w:r w:rsidRPr="001E2D05">
        <w:rPr>
          <w:rFonts w:ascii="Times New Roman" w:hAnsi="Times New Roman"/>
          <w:sz w:val="24"/>
          <w:szCs w:val="24"/>
          <w:lang w:val="en-GB"/>
        </w:rPr>
        <w:t>.[</w:t>
      </w:r>
      <w:proofErr w:type="gramEnd"/>
      <w:r w:rsidRPr="001E2D05">
        <w:rPr>
          <w:rFonts w:ascii="Times New Roman" w:hAnsi="Times New Roman"/>
          <w:sz w:val="24"/>
          <w:szCs w:val="24"/>
          <w:lang w:val="en-GB"/>
        </w:rPr>
        <w:t xml:space="preserve">2006]: De la </w:t>
      </w:r>
      <w:proofErr w:type="spellStart"/>
      <w:r w:rsidRPr="001E2D05">
        <w:rPr>
          <w:rFonts w:ascii="Times New Roman" w:hAnsi="Times New Roman"/>
          <w:sz w:val="24"/>
          <w:szCs w:val="24"/>
          <w:lang w:val="en-GB"/>
        </w:rPr>
        <w:t>démocratie</w:t>
      </w:r>
      <w:proofErr w:type="spellEnd"/>
      <w:r w:rsidRPr="001E2D05">
        <w:rPr>
          <w:rFonts w:ascii="Times New Roman" w:hAnsi="Times New Roman"/>
          <w:sz w:val="24"/>
          <w:szCs w:val="24"/>
          <w:lang w:val="en-GB"/>
        </w:rPr>
        <w:t xml:space="preserve"> en </w:t>
      </w:r>
      <w:proofErr w:type="spellStart"/>
      <w:r w:rsidRPr="001E2D05">
        <w:rPr>
          <w:rFonts w:ascii="Times New Roman" w:hAnsi="Times New Roman"/>
          <w:sz w:val="24"/>
          <w:szCs w:val="24"/>
          <w:lang w:val="en-GB"/>
        </w:rPr>
        <w:t>Amérique</w:t>
      </w:r>
      <w:proofErr w:type="spellEnd"/>
      <w:r w:rsidRPr="001E2D05">
        <w:rPr>
          <w:rFonts w:ascii="Times New Roman" w:hAnsi="Times New Roman"/>
          <w:sz w:val="24"/>
          <w:szCs w:val="24"/>
          <w:lang w:val="en-GB"/>
        </w:rPr>
        <w:t xml:space="preserve">, La </w:t>
      </w:r>
      <w:proofErr w:type="spellStart"/>
      <w:r w:rsidRPr="001E2D05">
        <w:rPr>
          <w:rFonts w:ascii="Times New Roman" w:hAnsi="Times New Roman"/>
          <w:sz w:val="24"/>
          <w:szCs w:val="24"/>
          <w:lang w:val="en-GB"/>
        </w:rPr>
        <w:t>Flèche</w:t>
      </w:r>
      <w:proofErr w:type="spellEnd"/>
      <w:r w:rsidRPr="001E2D05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1E2D05">
        <w:rPr>
          <w:rFonts w:ascii="Times New Roman" w:hAnsi="Times New Roman"/>
          <w:sz w:val="24"/>
          <w:szCs w:val="24"/>
          <w:lang w:val="en-GB"/>
        </w:rPr>
        <w:t>Éditions</w:t>
      </w:r>
      <w:proofErr w:type="spellEnd"/>
      <w:r w:rsidRPr="001E2D0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1E2D05">
        <w:rPr>
          <w:rFonts w:ascii="Times New Roman" w:hAnsi="Times New Roman"/>
          <w:sz w:val="24"/>
          <w:szCs w:val="24"/>
          <w:lang w:val="en-GB"/>
        </w:rPr>
        <w:t>Gallimard</w:t>
      </w:r>
      <w:proofErr w:type="spellEnd"/>
      <w:r w:rsidRPr="001E2D05">
        <w:rPr>
          <w:rFonts w:ascii="Times New Roman" w:hAnsi="Times New Roman"/>
          <w:sz w:val="24"/>
          <w:szCs w:val="24"/>
          <w:lang w:val="en-GB"/>
        </w:rPr>
        <w:t>.</w:t>
      </w:r>
    </w:p>
    <w:p w:rsidR="00C6213C" w:rsidRPr="006E73DC" w:rsidRDefault="00606F27" w:rsidP="00832D2E">
      <w:pPr>
        <w:spacing w:after="120" w:line="240" w:lineRule="auto"/>
        <w:jc w:val="both"/>
        <w:rPr>
          <w:lang w:val="en-GB"/>
        </w:rPr>
      </w:pPr>
      <w:r w:rsidRPr="001E2D05">
        <w:rPr>
          <w:rFonts w:ascii="Times New Roman" w:hAnsi="Times New Roman"/>
          <w:smallCaps/>
          <w:sz w:val="24"/>
          <w:szCs w:val="24"/>
          <w:lang w:val="en-GB"/>
        </w:rPr>
        <w:t>Williamson</w:t>
      </w:r>
      <w:r w:rsidR="001E2D05" w:rsidRPr="001E2D05">
        <w:rPr>
          <w:rFonts w:ascii="Times New Roman" w:hAnsi="Times New Roman"/>
          <w:sz w:val="24"/>
          <w:szCs w:val="24"/>
          <w:lang w:val="en-GB"/>
        </w:rPr>
        <w:t>, H. [2002]</w:t>
      </w:r>
      <w:r w:rsidRPr="001E2D05">
        <w:rPr>
          <w:rFonts w:ascii="Times New Roman" w:hAnsi="Times New Roman"/>
          <w:sz w:val="24"/>
          <w:szCs w:val="24"/>
          <w:lang w:val="en-GB"/>
        </w:rPr>
        <w:t>: Supporting young people in Europe: principles, policy and practice. The Council of Europe international reviews of national youth policy 1997-2001- a synthesis re</w:t>
      </w:r>
      <w:r w:rsidR="001E2D05" w:rsidRPr="001E2D05">
        <w:rPr>
          <w:rFonts w:ascii="Times New Roman" w:hAnsi="Times New Roman"/>
          <w:sz w:val="24"/>
          <w:szCs w:val="24"/>
          <w:lang w:val="en-GB"/>
        </w:rPr>
        <w:t>port, Strasbourg</w:t>
      </w:r>
    </w:p>
    <w:sectPr w:rsidR="00C6213C" w:rsidRPr="006E73DC" w:rsidSect="00124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ACC" w:rsidRDefault="00597ACC" w:rsidP="00DD3F10">
      <w:pPr>
        <w:spacing w:after="0" w:line="240" w:lineRule="auto"/>
      </w:pPr>
      <w:r>
        <w:separator/>
      </w:r>
    </w:p>
  </w:endnote>
  <w:endnote w:type="continuationSeparator" w:id="0">
    <w:p w:rsidR="00597ACC" w:rsidRDefault="00597ACC" w:rsidP="00DD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eta-Normal-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taNormal-Italic-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ACC" w:rsidRDefault="00597ACC" w:rsidP="00DD3F10">
      <w:pPr>
        <w:spacing w:after="0" w:line="240" w:lineRule="auto"/>
      </w:pPr>
      <w:r>
        <w:separator/>
      </w:r>
    </w:p>
  </w:footnote>
  <w:footnote w:type="continuationSeparator" w:id="0">
    <w:p w:rsidR="00597ACC" w:rsidRDefault="00597ACC" w:rsidP="00DD3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F21"/>
    <w:rsid w:val="00077DF9"/>
    <w:rsid w:val="000961B1"/>
    <w:rsid w:val="000A2AE0"/>
    <w:rsid w:val="000C5B41"/>
    <w:rsid w:val="000D275D"/>
    <w:rsid w:val="001241A7"/>
    <w:rsid w:val="00187302"/>
    <w:rsid w:val="001E2D05"/>
    <w:rsid w:val="001E344E"/>
    <w:rsid w:val="001F3BBD"/>
    <w:rsid w:val="00201D80"/>
    <w:rsid w:val="002109FC"/>
    <w:rsid w:val="002121C0"/>
    <w:rsid w:val="0025624C"/>
    <w:rsid w:val="002714CD"/>
    <w:rsid w:val="00362459"/>
    <w:rsid w:val="003D3CBB"/>
    <w:rsid w:val="003E22D3"/>
    <w:rsid w:val="00476555"/>
    <w:rsid w:val="004D5E8E"/>
    <w:rsid w:val="004E5C69"/>
    <w:rsid w:val="004F630D"/>
    <w:rsid w:val="00532089"/>
    <w:rsid w:val="0058538A"/>
    <w:rsid w:val="00597ACC"/>
    <w:rsid w:val="005C5A91"/>
    <w:rsid w:val="00606F27"/>
    <w:rsid w:val="0064624E"/>
    <w:rsid w:val="006B15C8"/>
    <w:rsid w:val="006E73DC"/>
    <w:rsid w:val="007142CB"/>
    <w:rsid w:val="00792497"/>
    <w:rsid w:val="007942D6"/>
    <w:rsid w:val="00832D2E"/>
    <w:rsid w:val="00847068"/>
    <w:rsid w:val="00867D99"/>
    <w:rsid w:val="008E20FF"/>
    <w:rsid w:val="0095289E"/>
    <w:rsid w:val="0095380D"/>
    <w:rsid w:val="00955BBA"/>
    <w:rsid w:val="00963AF5"/>
    <w:rsid w:val="009A0FCC"/>
    <w:rsid w:val="009C61F5"/>
    <w:rsid w:val="00A55572"/>
    <w:rsid w:val="00AC0491"/>
    <w:rsid w:val="00AD5103"/>
    <w:rsid w:val="00AD6058"/>
    <w:rsid w:val="00B21076"/>
    <w:rsid w:val="00B415DF"/>
    <w:rsid w:val="00BB1D35"/>
    <w:rsid w:val="00BE6FD9"/>
    <w:rsid w:val="00C52EB6"/>
    <w:rsid w:val="00C6213C"/>
    <w:rsid w:val="00CB2DFD"/>
    <w:rsid w:val="00CD5D1C"/>
    <w:rsid w:val="00D35FC0"/>
    <w:rsid w:val="00D36F33"/>
    <w:rsid w:val="00D47F21"/>
    <w:rsid w:val="00D748F2"/>
    <w:rsid w:val="00D81D61"/>
    <w:rsid w:val="00DB0E53"/>
    <w:rsid w:val="00DB4D26"/>
    <w:rsid w:val="00DB7C96"/>
    <w:rsid w:val="00DC08C5"/>
    <w:rsid w:val="00DD3F10"/>
    <w:rsid w:val="00E82DD7"/>
    <w:rsid w:val="00E854D2"/>
    <w:rsid w:val="00EF75CD"/>
    <w:rsid w:val="00F045B7"/>
    <w:rsid w:val="00F2409B"/>
    <w:rsid w:val="00F440B7"/>
    <w:rsid w:val="00F46F87"/>
    <w:rsid w:val="00F5012D"/>
    <w:rsid w:val="00F64098"/>
    <w:rsid w:val="00FA1547"/>
    <w:rsid w:val="00FF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7F2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Cmsor1">
    <w:name w:val="heading 1"/>
    <w:basedOn w:val="Norml"/>
    <w:next w:val="Norml"/>
    <w:link w:val="Cmsor1Char"/>
    <w:qFormat/>
    <w:rsid w:val="00D748F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58538A"/>
    <w:pPr>
      <w:keepNext/>
      <w:suppressAutoHyphens w:val="0"/>
      <w:spacing w:before="240" w:after="60" w:line="240" w:lineRule="auto"/>
      <w:ind w:left="714" w:hanging="357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748F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Listaszerbekezds">
    <w:name w:val="List Paragraph"/>
    <w:basedOn w:val="Norml"/>
    <w:qFormat/>
    <w:rsid w:val="00D748F2"/>
    <w:pPr>
      <w:ind w:left="72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748F2"/>
    <w:pPr>
      <w:keepLines/>
      <w:suppressAutoHyphens w:val="0"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customStyle="1" w:styleId="hps">
    <w:name w:val="hps"/>
    <w:basedOn w:val="Bekezdsalapbettpusa"/>
    <w:rsid w:val="00D47F21"/>
  </w:style>
  <w:style w:type="character" w:styleId="Kiemels">
    <w:name w:val="Emphasis"/>
    <w:basedOn w:val="Bekezdsalapbettpusa"/>
    <w:uiPriority w:val="20"/>
    <w:qFormat/>
    <w:rsid w:val="00D47F21"/>
    <w:rPr>
      <w:b/>
      <w:bCs/>
      <w:i w:val="0"/>
      <w:iCs w:val="0"/>
    </w:rPr>
  </w:style>
  <w:style w:type="character" w:customStyle="1" w:styleId="st">
    <w:name w:val="st"/>
    <w:basedOn w:val="Bekezdsalapbettpusa"/>
    <w:rsid w:val="00D47F21"/>
  </w:style>
  <w:style w:type="paragraph" w:styleId="Lbjegyzetszveg">
    <w:name w:val="footnote text"/>
    <w:basedOn w:val="Norml"/>
    <w:link w:val="LbjegyzetszvegChar"/>
    <w:unhideWhenUsed/>
    <w:rsid w:val="00DD3F10"/>
    <w:pPr>
      <w:suppressAutoHyphens w:val="0"/>
      <w:spacing w:after="0" w:line="240" w:lineRule="auto"/>
      <w:ind w:left="714" w:hanging="357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rsid w:val="00DD3F10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DD3F10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58538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styleId="Kiemels2">
    <w:name w:val="Strong"/>
    <w:basedOn w:val="Bekezdsalapbettpusa"/>
    <w:uiPriority w:val="22"/>
    <w:qFormat/>
    <w:rsid w:val="001F3B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042E9-2576-49FD-8730-3564793A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</Pages>
  <Words>1271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Oross Dániel</dc:creator>
  <cp:keywords/>
  <dc:description/>
  <cp:lastModifiedBy>Oross Dániel</cp:lastModifiedBy>
  <cp:revision>32</cp:revision>
  <cp:lastPrinted>2012-10-01T12:41:00Z</cp:lastPrinted>
  <dcterms:created xsi:type="dcterms:W3CDTF">2012-09-25T12:33:00Z</dcterms:created>
  <dcterms:modified xsi:type="dcterms:W3CDTF">2013-01-02T20:39:00Z</dcterms:modified>
</cp:coreProperties>
</file>